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B94D" w14:textId="165E8A0E" w:rsidR="00DD227D" w:rsidRDefault="0062583C" w:rsidP="00DD227D">
      <w:pPr>
        <w:spacing w:line="56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DD227D">
        <w:rPr>
          <w:rFonts w:ascii="方正小标宋简体" w:eastAsia="方正小标宋简体" w:hAnsiTheme="majorEastAsia" w:cstheme="majorEastAsia" w:hint="eastAsia"/>
          <w:sz w:val="44"/>
          <w:szCs w:val="44"/>
        </w:rPr>
        <w:t>道里区工程街道</w:t>
      </w:r>
      <w:r w:rsidR="00DD227D">
        <w:rPr>
          <w:rFonts w:ascii="方正小标宋简体" w:eastAsia="方正小标宋简体" w:hAnsiTheme="majorEastAsia" w:cstheme="majorEastAsia" w:hint="eastAsia"/>
          <w:sz w:val="44"/>
          <w:szCs w:val="44"/>
        </w:rPr>
        <w:t>办事处</w:t>
      </w:r>
    </w:p>
    <w:p w14:paraId="4E9832A4" w14:textId="428901CD" w:rsidR="00DD227D" w:rsidRDefault="0062583C" w:rsidP="00DD227D">
      <w:pPr>
        <w:spacing w:line="56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DD227D">
        <w:rPr>
          <w:rFonts w:ascii="方正小标宋简体" w:eastAsia="方正小标宋简体" w:hAnsiTheme="majorEastAsia" w:cstheme="majorEastAsia" w:hint="eastAsia"/>
          <w:sz w:val="44"/>
          <w:szCs w:val="44"/>
        </w:rPr>
        <w:t>2022年</w:t>
      </w:r>
      <w:r w:rsidR="00981B8A">
        <w:rPr>
          <w:rFonts w:ascii="方正小标宋简体" w:eastAsia="方正小标宋简体" w:hAnsiTheme="majorEastAsia" w:cstheme="majorEastAsia" w:hint="eastAsia"/>
          <w:sz w:val="44"/>
          <w:szCs w:val="44"/>
        </w:rPr>
        <w:t>政府</w:t>
      </w:r>
      <w:r w:rsidRPr="00DD227D">
        <w:rPr>
          <w:rFonts w:ascii="方正小标宋简体" w:eastAsia="方正小标宋简体" w:hAnsiTheme="majorEastAsia" w:cstheme="majorEastAsia" w:hint="eastAsia"/>
          <w:sz w:val="44"/>
          <w:szCs w:val="44"/>
        </w:rPr>
        <w:t>信息公开工作</w:t>
      </w:r>
      <w:r w:rsidR="00DD227D">
        <w:rPr>
          <w:rFonts w:ascii="方正小标宋简体" w:eastAsia="方正小标宋简体" w:hAnsiTheme="majorEastAsia" w:cstheme="majorEastAsia" w:hint="eastAsia"/>
          <w:sz w:val="44"/>
          <w:szCs w:val="44"/>
        </w:rPr>
        <w:t>年度报告</w:t>
      </w:r>
    </w:p>
    <w:p w14:paraId="1E5AFA92" w14:textId="77777777" w:rsidR="00DD227D" w:rsidRPr="00DD227D" w:rsidRDefault="00DD227D" w:rsidP="00DD227D">
      <w:pPr>
        <w:spacing w:line="560" w:lineRule="exact"/>
        <w:rPr>
          <w:rFonts w:ascii="方正小标宋简体" w:eastAsia="方正小标宋简体" w:hAnsiTheme="majorEastAsia" w:cstheme="majorEastAsia"/>
          <w:sz w:val="44"/>
          <w:szCs w:val="44"/>
        </w:rPr>
      </w:pPr>
    </w:p>
    <w:p w14:paraId="0A9DE9F0" w14:textId="3CA1C5E2" w:rsidR="00D76173" w:rsidRDefault="00DD227D" w:rsidP="00EA5B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D227D"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现公布道里区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 w:rsidRPr="00DD227D">
        <w:rPr>
          <w:rFonts w:ascii="仿宋_GB2312" w:eastAsia="仿宋_GB2312" w:hAnsi="仿宋_GB2312" w:cs="仿宋_GB2312" w:hint="eastAsia"/>
          <w:sz w:val="32"/>
          <w:szCs w:val="32"/>
        </w:rPr>
        <w:t>街道办事处2022年政府信息公开工作报告。本年度报告所列数据的统计期限为2022年1月1日至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EA5B1A" w:rsidRPr="00EA5B1A">
        <w:rPr>
          <w:rFonts w:ascii="仿宋_GB2312" w:eastAsia="仿宋_GB2312" w:hAnsi="仿宋_GB2312" w:cs="仿宋_GB2312" w:hint="eastAsia"/>
          <w:sz w:val="32"/>
          <w:szCs w:val="32"/>
        </w:rPr>
        <w:t>其网址为：http://www.hrbdl.gov.cn。</w:t>
      </w:r>
      <w:r w:rsidR="0062583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如对本报告有疑问，请联系哈尔滨市道里区工程街道办事处，地址：哈尔滨市道里区经纬街275号，</w:t>
      </w:r>
      <w:r w:rsidR="00EA5B1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邮编：1</w:t>
      </w:r>
      <w:r w:rsidR="00EA5B1A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50010</w:t>
      </w:r>
      <w:r w:rsidR="00EA5B1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62583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电话：0451-84235183。</w:t>
      </w:r>
    </w:p>
    <w:p w14:paraId="5B2A0A60" w14:textId="7248F1B1" w:rsidR="00D76173" w:rsidRDefault="00D76173" w:rsidP="00D76173">
      <w:pPr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一、</w:t>
      </w:r>
      <w:r w:rsidR="0062583C" w:rsidRPr="00D76173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总体情况</w:t>
      </w:r>
    </w:p>
    <w:p w14:paraId="26CDD353" w14:textId="77777777" w:rsidR="00D76173" w:rsidRDefault="0062583C" w:rsidP="00D7617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76173">
        <w:rPr>
          <w:rFonts w:ascii="仿宋_GB2312" w:eastAsia="仿宋_GB2312" w:hAnsi="仿宋_GB2312" w:cs="仿宋_GB2312" w:hint="eastAsia"/>
          <w:sz w:val="32"/>
          <w:szCs w:val="32"/>
        </w:rPr>
        <w:t>2022年，</w:t>
      </w:r>
      <w:proofErr w:type="gramStart"/>
      <w:r w:rsidRPr="00D76173">
        <w:rPr>
          <w:rFonts w:ascii="仿宋_GB2312" w:eastAsia="仿宋_GB2312" w:hAnsi="仿宋_GB2312" w:cs="仿宋_GB2312" w:hint="eastAsia"/>
          <w:sz w:val="32"/>
          <w:szCs w:val="32"/>
        </w:rPr>
        <w:t>我街以</w:t>
      </w:r>
      <w:proofErr w:type="gramEnd"/>
      <w:r w:rsidRPr="00D76173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为指导，结合街道工作实际情况，紧紧围绕街工委、办事处中心工作，认真贯彻落实《条例》精神及省、市、区有关文件精神，通过道里区人民政府信息网站，不断拓展提高政府信息公开质量和实效，拓展深化公开领域，提高公开质量和实</w:t>
      </w:r>
      <w:r w:rsidRPr="00D761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效，为持续推动打造道里区法治政府、创新政府、廉洁政府和服务型政府，促进了工程地区经济社会健康发展，奠定了坚实基础。</w:t>
      </w:r>
    </w:p>
    <w:p w14:paraId="41D3854D" w14:textId="0C1AEE03" w:rsidR="00D76173" w:rsidRDefault="00D76173" w:rsidP="00D7617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2583C">
        <w:rPr>
          <w:rFonts w:ascii="仿宋_GB2312" w:eastAsia="仿宋_GB2312" w:hAnsi="仿宋_GB2312" w:cs="仿宋_GB2312" w:hint="eastAsia"/>
          <w:sz w:val="32"/>
          <w:szCs w:val="32"/>
        </w:rPr>
        <w:t>主动公开情况。主要通过道里</w:t>
      </w:r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区人民政府信息网站中的政府机构栏目</w:t>
      </w:r>
      <w:proofErr w:type="gramStart"/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及时维护</w:t>
      </w:r>
      <w:proofErr w:type="gramEnd"/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更新本单位领导班子成员、内设科室联系电话等需要修改的相关信息，方便居民群众通过网络及时了解情况，确保政府信息公开工作持续良好开展。</w:t>
      </w:r>
      <w:r w:rsidR="0062583C">
        <w:rPr>
          <w:rFonts w:ascii="仿宋_GB2312" w:eastAsia="仿宋_GB2312" w:hAnsi="仿宋_GB2312" w:cs="仿宋_GB2312" w:hint="eastAsia"/>
          <w:sz w:val="32"/>
          <w:szCs w:val="32"/>
        </w:rPr>
        <w:t>依申请公开情况。</w:t>
      </w:r>
    </w:p>
    <w:p w14:paraId="1707ACCB" w14:textId="38D5E9B4" w:rsidR="00D76173" w:rsidRDefault="00D76173" w:rsidP="00D7617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依申请公开情况。</w:t>
      </w:r>
      <w:r w:rsidR="0062583C">
        <w:rPr>
          <w:rFonts w:ascii="仿宋_GB2312" w:eastAsia="仿宋_GB2312" w:hAnsi="仿宋_GB2312" w:cs="仿宋_GB2312" w:hint="eastAsia"/>
          <w:sz w:val="32"/>
          <w:szCs w:val="32"/>
        </w:rPr>
        <w:t>2022年工程</w:t>
      </w:r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路街道办事处接到群众主动要求公开政府信息的申请</w:t>
      </w:r>
      <w:r w:rsidR="0062583C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件，本年度尚未发现应主动公开政府信息而未予公开的情况。</w:t>
      </w:r>
    </w:p>
    <w:p w14:paraId="6591BCF5" w14:textId="41D15561" w:rsidR="00D76173" w:rsidRDefault="00D76173" w:rsidP="00D7617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政府信息管理。</w:t>
      </w:r>
      <w:proofErr w:type="gramStart"/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我街由</w:t>
      </w:r>
      <w:proofErr w:type="gramEnd"/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主管领导牵头，专人负责街道工作信息发布。完善了信息公开保密审查制度等制度，信息发布前，由信息发布主管领导严格审核是否涉秘、是否有不应该发布的敏感词等内容，发现疑点及时请示相关部门审核，确保不发生泄密问题。</w:t>
      </w:r>
    </w:p>
    <w:p w14:paraId="1C0DF850" w14:textId="064881C8" w:rsidR="00D76173" w:rsidRDefault="00D76173" w:rsidP="00D7617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平台建设。为丰富公开信息内容及保证质量，依托区政府信息公开网站及时公开街道党工委、办事处工作职能、内部科室设置和联系方式，方便居民</w:t>
      </w:r>
      <w:r w:rsidR="0062583C">
        <w:rPr>
          <w:rFonts w:ascii="仿宋_GB2312" w:eastAsia="仿宋_GB2312" w:hAnsi="仿宋_GB2312" w:cs="仿宋_GB2312" w:hint="eastAsia"/>
          <w:sz w:val="32"/>
          <w:szCs w:val="32"/>
        </w:rPr>
        <w:t>群众查阅联系。通过街道便民</w:t>
      </w:r>
      <w:proofErr w:type="gramStart"/>
      <w:r w:rsidR="0062583C">
        <w:rPr>
          <w:rFonts w:ascii="仿宋_GB2312" w:eastAsia="仿宋_GB2312" w:hAnsi="仿宋_GB2312" w:cs="仿宋_GB2312" w:hint="eastAsia"/>
          <w:sz w:val="32"/>
          <w:szCs w:val="32"/>
        </w:rPr>
        <w:t>微信群公开</w:t>
      </w:r>
      <w:proofErr w:type="gramEnd"/>
      <w:r w:rsidR="0062583C">
        <w:rPr>
          <w:rFonts w:ascii="仿宋_GB2312" w:eastAsia="仿宋_GB2312" w:hAnsi="仿宋_GB2312" w:cs="仿宋_GB2312" w:hint="eastAsia"/>
          <w:sz w:val="32"/>
          <w:szCs w:val="32"/>
        </w:rPr>
        <w:t>街道大量动态信息；在街道</w:t>
      </w:r>
      <w:r w:rsidR="0062583C" w:rsidRPr="0062583C">
        <w:rPr>
          <w:rFonts w:ascii="仿宋_GB2312" w:eastAsia="仿宋_GB2312" w:hAnsi="仿宋_GB2312" w:cs="仿宋_GB2312" w:hint="eastAsia"/>
          <w:sz w:val="32"/>
          <w:szCs w:val="32"/>
        </w:rPr>
        <w:t>服务大厅显著位置，公开全街各项为民服务业务办事指南、办事流程图、办结时限内容，便于群众办事。</w:t>
      </w:r>
    </w:p>
    <w:p w14:paraId="29471069" w14:textId="7DCA6F9A" w:rsidR="006E33C6" w:rsidRPr="00D76173" w:rsidRDefault="00D76173" w:rsidP="00D7617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62583C">
        <w:rPr>
          <w:rFonts w:ascii="仿宋_GB2312" w:eastAsia="仿宋_GB2312" w:hAnsi="仿宋_GB2312" w:cs="仿宋_GB2312" w:hint="eastAsia"/>
          <w:sz w:val="32"/>
          <w:szCs w:val="32"/>
        </w:rPr>
        <w:t>监督保障。工程街道坚持把政务公开工作作为全年工作重点，坚持“以公开为常态，不公开为例外”原则，</w:t>
      </w:r>
      <w:r w:rsidR="0062583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设置专人负责政务服务公开和政务服务的日常工作，逐步实现政务公开工作的常态化，规范化，法制化，保证我街道政务公开和政务服务工作的顺利开展。</w:t>
      </w:r>
    </w:p>
    <w:p w14:paraId="264D611D" w14:textId="51813A3D" w:rsidR="006E33C6" w:rsidRPr="00D76173" w:rsidRDefault="0062583C" w:rsidP="00DD22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76173">
        <w:rPr>
          <w:rFonts w:ascii="黑体" w:eastAsia="黑体" w:hAnsi="黑体" w:cs="仿宋_GB2312" w:hint="eastAsia"/>
          <w:sz w:val="32"/>
          <w:szCs w:val="32"/>
        </w:rPr>
        <w:t>二、行政机关主动公开政府信息的情况</w:t>
      </w:r>
    </w:p>
    <w:tbl>
      <w:tblPr>
        <w:tblW w:w="8221" w:type="dxa"/>
        <w:tblInd w:w="118" w:type="dxa"/>
        <w:tblLook w:val="04A0" w:firstRow="1" w:lastRow="0" w:firstColumn="1" w:lastColumn="0" w:noHBand="0" w:noVBand="1"/>
      </w:tblPr>
      <w:tblGrid>
        <w:gridCol w:w="2156"/>
        <w:gridCol w:w="2208"/>
        <w:gridCol w:w="1682"/>
        <w:gridCol w:w="2175"/>
      </w:tblGrid>
      <w:tr w:rsidR="00860819" w:rsidRPr="00860819" w14:paraId="07B7B0C5" w14:textId="77777777" w:rsidTr="00860819">
        <w:trPr>
          <w:trHeight w:val="315"/>
        </w:trPr>
        <w:tc>
          <w:tcPr>
            <w:tcW w:w="8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B24A416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60819" w:rsidRPr="00860819" w14:paraId="1A5BCB85" w14:textId="77777777" w:rsidTr="00860819">
        <w:trPr>
          <w:trHeight w:val="29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21B3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A958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5C3A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ECF1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860819" w:rsidRPr="00860819" w14:paraId="7E96A074" w14:textId="77777777" w:rsidTr="00860819">
        <w:trPr>
          <w:trHeight w:val="28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6B5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6B2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BDD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E42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771358DE" w14:textId="77777777" w:rsidTr="00860819">
        <w:trPr>
          <w:trHeight w:val="28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7EB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41E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E12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C76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43DB0FF2" w14:textId="77777777" w:rsidTr="00860819">
        <w:trPr>
          <w:trHeight w:val="315"/>
        </w:trPr>
        <w:tc>
          <w:tcPr>
            <w:tcW w:w="82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C45264C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60819" w:rsidRPr="00860819" w14:paraId="64121903" w14:textId="77777777" w:rsidTr="00860819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84B1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429B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60819" w:rsidRPr="00860819" w14:paraId="35209FBF" w14:textId="77777777" w:rsidTr="00860819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66B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B0DA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0A39BB7E" w14:textId="77777777" w:rsidTr="00860819">
        <w:trPr>
          <w:trHeight w:val="315"/>
        </w:trPr>
        <w:tc>
          <w:tcPr>
            <w:tcW w:w="82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F9D224D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60819" w:rsidRPr="00860819" w14:paraId="71CABA60" w14:textId="77777777" w:rsidTr="00860819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8A3E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5293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60819" w:rsidRPr="00860819" w14:paraId="0B3C4CC6" w14:textId="77777777" w:rsidTr="00860819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E113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547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7155C07F" w14:textId="77777777" w:rsidTr="00860819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FED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D08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42D819BA" w14:textId="77777777" w:rsidTr="00860819">
        <w:trPr>
          <w:trHeight w:val="315"/>
        </w:trPr>
        <w:tc>
          <w:tcPr>
            <w:tcW w:w="82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1C6CDF6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60819" w:rsidRPr="00860819" w14:paraId="67C3101A" w14:textId="77777777" w:rsidTr="00860819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D9B9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0874B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860819" w:rsidRPr="00860819" w14:paraId="5834E55D" w14:textId="77777777" w:rsidTr="00860819">
        <w:trPr>
          <w:trHeight w:val="51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96B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B486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E23BBFA" w14:textId="4F599374" w:rsidR="006E33C6" w:rsidRDefault="0062583C" w:rsidP="00DD22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76173">
        <w:rPr>
          <w:rFonts w:ascii="黑体" w:eastAsia="黑体" w:hAnsi="黑体" w:cs="仿宋_GB2312" w:hint="eastAsia"/>
          <w:sz w:val="32"/>
          <w:szCs w:val="32"/>
        </w:rPr>
        <w:t>三、行政机关收到和处理政府信息公开申请情况</w:t>
      </w:r>
    </w:p>
    <w:tbl>
      <w:tblPr>
        <w:tblW w:w="8331" w:type="dxa"/>
        <w:tblInd w:w="118" w:type="dxa"/>
        <w:tblLook w:val="04A0" w:firstRow="1" w:lastRow="0" w:firstColumn="1" w:lastColumn="0" w:noHBand="0" w:noVBand="1"/>
      </w:tblPr>
      <w:tblGrid>
        <w:gridCol w:w="616"/>
        <w:gridCol w:w="922"/>
        <w:gridCol w:w="2128"/>
        <w:gridCol w:w="714"/>
        <w:gridCol w:w="679"/>
        <w:gridCol w:w="596"/>
        <w:gridCol w:w="696"/>
        <w:gridCol w:w="696"/>
        <w:gridCol w:w="615"/>
        <w:gridCol w:w="669"/>
      </w:tblGrid>
      <w:tr w:rsidR="00860819" w:rsidRPr="00860819" w14:paraId="0B913C10" w14:textId="77777777" w:rsidTr="00860819">
        <w:trPr>
          <w:trHeight w:val="319"/>
        </w:trPr>
        <w:tc>
          <w:tcPr>
            <w:tcW w:w="36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5BA8" w14:textId="77777777" w:rsidR="00860819" w:rsidRPr="00860819" w:rsidRDefault="00860819" w:rsidP="008608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86081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86081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295B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860819" w:rsidRPr="00860819" w14:paraId="7572832E" w14:textId="77777777" w:rsidTr="00860819">
        <w:trPr>
          <w:trHeight w:val="319"/>
        </w:trPr>
        <w:tc>
          <w:tcPr>
            <w:tcW w:w="36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9E789" w14:textId="77777777" w:rsidR="00860819" w:rsidRPr="00860819" w:rsidRDefault="00860819" w:rsidP="008608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55AD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9EB3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EC21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60819" w:rsidRPr="00860819" w14:paraId="419101B7" w14:textId="77777777" w:rsidTr="00860819">
        <w:trPr>
          <w:trHeight w:val="319"/>
        </w:trPr>
        <w:tc>
          <w:tcPr>
            <w:tcW w:w="36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F69B5" w14:textId="77777777" w:rsidR="00860819" w:rsidRPr="00860819" w:rsidRDefault="00860819" w:rsidP="008608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7111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162C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55E6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3012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025F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DC91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1694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0819" w:rsidRPr="00860819" w14:paraId="517A0562" w14:textId="77777777" w:rsidTr="00860819">
        <w:trPr>
          <w:trHeight w:val="547"/>
        </w:trPr>
        <w:tc>
          <w:tcPr>
            <w:tcW w:w="36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BAE68" w14:textId="77777777" w:rsidR="00860819" w:rsidRPr="00860819" w:rsidRDefault="00860819" w:rsidP="008608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EBF5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8A3A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99F5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3F90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5AE7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360D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75F91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0819" w:rsidRPr="00860819" w14:paraId="1896E515" w14:textId="77777777" w:rsidTr="00860819">
        <w:trPr>
          <w:trHeight w:val="527"/>
        </w:trPr>
        <w:tc>
          <w:tcPr>
            <w:tcW w:w="36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53E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5DF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001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062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6ADA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EEC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5FD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B35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7E0FC10B" w14:textId="77777777" w:rsidTr="00860819">
        <w:trPr>
          <w:trHeight w:val="486"/>
        </w:trPr>
        <w:tc>
          <w:tcPr>
            <w:tcW w:w="36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187D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66A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D63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6CC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C65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F27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C14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8DA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070E4B83" w14:textId="77777777" w:rsidTr="00860819">
        <w:trPr>
          <w:trHeight w:val="319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C0B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719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904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60B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0D9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2E0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546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EFA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934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4488D51F" w14:textId="77777777" w:rsidTr="00860819">
        <w:trPr>
          <w:trHeight w:val="74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39AF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95F3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86081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692A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3A9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6D8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902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5C4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767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A44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3C1442AB" w14:textId="77777777" w:rsidTr="00860819">
        <w:trPr>
          <w:trHeight w:val="51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4D41D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2BC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F84C8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CBA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1EE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B40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F21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81D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051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654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5D4C9187" w14:textId="77777777" w:rsidTr="00860819">
        <w:trPr>
          <w:trHeight w:val="53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E721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B994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3DFD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BA3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563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BF4A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4EC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FA6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915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B8D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71F17E77" w14:textId="77777777" w:rsidTr="00860819">
        <w:trPr>
          <w:trHeight w:val="588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7D330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DCEE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72E10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F3D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DC7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CA9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FB1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BC0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28B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020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449BAABD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DA1F3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AD7E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9464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123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AED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CA5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6395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732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9F9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4AB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09C2C347" w14:textId="77777777" w:rsidTr="00860819">
        <w:trPr>
          <w:trHeight w:val="588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1FC3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57E8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3015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393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79B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958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6EC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AE9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A85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A2EA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6AF13640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A2D3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5A08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D079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A81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10D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CE3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01AD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CF3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648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1F9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63CD1810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B3740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371C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0F63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D5A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1F8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9E6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311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A26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51D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A28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030E3E26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0F88D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11C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340A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4C4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C77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017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E98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E1E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05C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9F5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7C9B226E" w14:textId="77777777" w:rsidTr="00860819">
        <w:trPr>
          <w:trHeight w:val="76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2E91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9E9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1889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766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F35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005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D7D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F83A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92B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B24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6006A3D7" w14:textId="77777777" w:rsidTr="00860819">
        <w:trPr>
          <w:trHeight w:val="53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4C65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A563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A6EE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1FA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8A2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ECA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B1C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2E1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7D7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4ED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0EEF0D03" w14:textId="77777777" w:rsidTr="00860819">
        <w:trPr>
          <w:trHeight w:val="54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85F58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EB6E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C2A4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44D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2F7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AA4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246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8A7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F6C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502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5145C8F6" w14:textId="77777777" w:rsidTr="00860819">
        <w:trPr>
          <w:trHeight w:val="51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2F6F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66F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4309D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A0B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A63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F50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DDC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C30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9B5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6B3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3751E269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B771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53CA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561A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504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048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FE3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672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3CB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90B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C53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77356717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7A86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4D548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6FEC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E70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672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8BC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285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07B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D23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86E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69026D45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0E460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61D01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378F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9DA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E86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8D9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AF1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737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D84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B29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1F695E26" w14:textId="77777777" w:rsidTr="00860819">
        <w:trPr>
          <w:trHeight w:val="53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6CEE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D324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12B4" w14:textId="77777777" w:rsidR="00860819" w:rsidRPr="00860819" w:rsidRDefault="00860819" w:rsidP="008608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6AB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DAD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C38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8A4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974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A3C9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2EF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68E2223D" w14:textId="77777777" w:rsidTr="00860819">
        <w:trPr>
          <w:trHeight w:val="173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D95E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487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CCE1" w14:textId="77777777" w:rsidR="00860819" w:rsidRPr="00860819" w:rsidRDefault="00860819" w:rsidP="008608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B0C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72E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E36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B83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BD6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93F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825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2EA4C232" w14:textId="77777777" w:rsidTr="00860819">
        <w:trPr>
          <w:trHeight w:val="801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867C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34E6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EBCD" w14:textId="77777777" w:rsidR="00860819" w:rsidRPr="00860819" w:rsidRDefault="00860819" w:rsidP="008608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0E6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A9A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723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4A9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A64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AB5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EF4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0C161BD7" w14:textId="77777777" w:rsidTr="00860819">
        <w:trPr>
          <w:trHeight w:val="294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ABE60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623E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CD4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1F8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363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7EB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4A0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531E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93D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A4B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7D9617A2" w14:textId="77777777" w:rsidTr="00860819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6C28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6A18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E545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7E0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C29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90C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B4F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B0E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A97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0819" w:rsidRPr="00860819" w14:paraId="07E9989B" w14:textId="77777777" w:rsidTr="00860819">
        <w:trPr>
          <w:trHeight w:val="319"/>
        </w:trPr>
        <w:tc>
          <w:tcPr>
            <w:tcW w:w="36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9C10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CF2F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E87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C68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B91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2F42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A06A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C724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D5B4656" w14:textId="1E0C7A67" w:rsidR="006E33C6" w:rsidRDefault="0062583C" w:rsidP="00DD22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76173">
        <w:rPr>
          <w:rFonts w:ascii="黑体" w:eastAsia="黑体" w:hAnsi="黑体" w:cs="仿宋_GB2312" w:hint="eastAsia"/>
          <w:sz w:val="32"/>
          <w:szCs w:val="32"/>
        </w:rPr>
        <w:t>四、政府信息公开工作行政复议、提起行政诉讼</w:t>
      </w:r>
      <w:r w:rsidR="00D76173">
        <w:rPr>
          <w:rFonts w:ascii="黑体" w:eastAsia="黑体" w:hAnsi="黑体" w:cs="仿宋_GB2312" w:hint="eastAsia"/>
          <w:sz w:val="32"/>
          <w:szCs w:val="32"/>
        </w:rPr>
        <w:t>情况</w:t>
      </w:r>
    </w:p>
    <w:tbl>
      <w:tblPr>
        <w:tblW w:w="8724" w:type="dxa"/>
        <w:tblLook w:val="04A0" w:firstRow="1" w:lastRow="0" w:firstColumn="1" w:lastColumn="0" w:noHBand="0" w:noVBand="1"/>
      </w:tblPr>
      <w:tblGrid>
        <w:gridCol w:w="510"/>
        <w:gridCol w:w="556"/>
        <w:gridCol w:w="544"/>
        <w:gridCol w:w="580"/>
        <w:gridCol w:w="571"/>
        <w:gridCol w:w="615"/>
        <w:gridCol w:w="568"/>
        <w:gridCol w:w="556"/>
        <w:gridCol w:w="544"/>
        <w:gridCol w:w="499"/>
        <w:gridCol w:w="627"/>
        <w:gridCol w:w="592"/>
        <w:gridCol w:w="627"/>
        <w:gridCol w:w="603"/>
        <w:gridCol w:w="510"/>
        <w:gridCol w:w="222"/>
      </w:tblGrid>
      <w:tr w:rsidR="00860819" w:rsidRPr="00860819" w14:paraId="57EC57F1" w14:textId="77777777" w:rsidTr="00860819">
        <w:trPr>
          <w:gridAfter w:val="1"/>
          <w:wAfter w:w="193" w:type="dxa"/>
          <w:trHeight w:val="501"/>
        </w:trPr>
        <w:tc>
          <w:tcPr>
            <w:tcW w:w="27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F9B5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76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695A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860819" w:rsidRPr="00860819" w14:paraId="1742AB9E" w14:textId="77777777" w:rsidTr="00860819">
        <w:trPr>
          <w:gridAfter w:val="1"/>
          <w:wAfter w:w="196" w:type="dxa"/>
          <w:trHeight w:val="312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A5E0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维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3660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纠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DCF6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AC46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审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CA47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79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DF41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69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BC2B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860819" w:rsidRPr="00860819" w14:paraId="60A7F864" w14:textId="77777777" w:rsidTr="00860819">
        <w:trPr>
          <w:trHeight w:val="234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E98B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6DB1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0A79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A7E1D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4D6B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EA69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AB75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6A6E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0819" w:rsidRPr="00860819" w14:paraId="4BCDDD84" w14:textId="77777777" w:rsidTr="00860819">
        <w:trPr>
          <w:trHeight w:val="10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10CE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8444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FE2C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CED9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2FA3D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6EE4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FAD6D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F8B5" w14:textId="77777777" w:rsidR="00860819" w:rsidRPr="00860819" w:rsidRDefault="00860819" w:rsidP="008608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0819" w:rsidRPr="00860819" w14:paraId="2EFC1835" w14:textId="77777777" w:rsidTr="00860819">
        <w:trPr>
          <w:trHeight w:val="263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7FFC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C1B3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C96A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C225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E3AB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94BE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1152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3787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0D7B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26EA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A2F9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D444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1C2E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E4A1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DF1D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860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196" w:type="dxa"/>
            <w:vAlign w:val="center"/>
            <w:hideMark/>
          </w:tcPr>
          <w:p w14:paraId="379A214B" w14:textId="77777777" w:rsidR="00860819" w:rsidRPr="00860819" w:rsidRDefault="00860819" w:rsidP="008608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0819" w:rsidRPr="00860819" w14:paraId="6489D755" w14:textId="77777777" w:rsidTr="00860819">
        <w:trPr>
          <w:trHeight w:val="234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97A8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F502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0B2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3D40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9F52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F70B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45DF3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4E69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F8C0C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C63A1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6E4F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AAA8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CCBF1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8C0A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3BA4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4069" w14:textId="77777777" w:rsidR="00860819" w:rsidRPr="00860819" w:rsidRDefault="00860819" w:rsidP="00860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0819" w:rsidRPr="00860819" w14:paraId="71D56CBE" w14:textId="77777777" w:rsidTr="00860819">
        <w:trPr>
          <w:trHeight w:val="234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6B3E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00DC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CED2B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38A1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4D39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730A3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1A7B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B204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1D14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6854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4EC8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4010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D2D7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05A8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D9282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582B" w14:textId="77777777" w:rsidR="00860819" w:rsidRPr="00860819" w:rsidRDefault="00860819" w:rsidP="008608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0819" w:rsidRPr="00860819" w14:paraId="660BD46D" w14:textId="77777777" w:rsidTr="00860819">
        <w:trPr>
          <w:trHeight w:val="401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9B06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24C19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1048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372A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211A4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710F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D13E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2763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EE7D6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0E93E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A39A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107A3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ED700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EC38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51CA5" w14:textId="77777777" w:rsidR="00860819" w:rsidRPr="00860819" w:rsidRDefault="00860819" w:rsidP="00860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F355" w14:textId="77777777" w:rsidR="00860819" w:rsidRPr="00860819" w:rsidRDefault="00860819" w:rsidP="008608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0819" w:rsidRPr="00860819" w14:paraId="6682F317" w14:textId="77777777" w:rsidTr="00860819">
        <w:trPr>
          <w:trHeight w:val="5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3D8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2FE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772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E808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59D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6C43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3A6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6931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6C97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DD5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9AD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B816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EFC0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3E5C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56AB" w14:textId="77777777" w:rsidR="00860819" w:rsidRPr="00860819" w:rsidRDefault="00860819" w:rsidP="008608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08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6" w:type="dxa"/>
            <w:vAlign w:val="center"/>
            <w:hideMark/>
          </w:tcPr>
          <w:p w14:paraId="4C86B2B7" w14:textId="77777777" w:rsidR="00860819" w:rsidRPr="00860819" w:rsidRDefault="00860819" w:rsidP="008608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02CF6E2" w14:textId="332E1D32" w:rsidR="006E33C6" w:rsidRPr="00D76173" w:rsidRDefault="0062583C" w:rsidP="00DD22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76173">
        <w:rPr>
          <w:rFonts w:ascii="黑体" w:eastAsia="黑体" w:hAnsi="黑体" w:cs="仿宋_GB2312" w:hint="eastAsia"/>
          <w:sz w:val="32"/>
          <w:szCs w:val="32"/>
        </w:rPr>
        <w:t>五、主要问题及改进情况</w:t>
      </w:r>
    </w:p>
    <w:p w14:paraId="38083124" w14:textId="77777777" w:rsidR="006E33C6" w:rsidRDefault="0062583C" w:rsidP="00DD22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我街的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政府信息公开工作虽然取得了一些成效，但我们也清醒地认识到，政府机关主动公开信息内容与公众的需求还存在一些差距。一是由于部分信息没有及时更新，存在发布间隔时间略长或者集中发布现象。二是信息公开工作人员业务能力有待提升，对工作人员的培训力度不够。</w:t>
      </w:r>
    </w:p>
    <w:p w14:paraId="2D520147" w14:textId="77777777" w:rsidR="006E33C6" w:rsidRDefault="0062583C" w:rsidP="00DD22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针对上述现象，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我街将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进行积极改进：一是加强工作管理，严格按照上级要求认真完成信息公开工作，需要更新的信息做到及时更新，确保时效性。二是加强信息公开工作人员业务培训开展，不断提高工作人员的综合素质，进一步提高信息公开工作水平。</w:t>
      </w:r>
    </w:p>
    <w:p w14:paraId="3E07DA68" w14:textId="77777777" w:rsidR="006E33C6" w:rsidRPr="00D76173" w:rsidRDefault="0062583C" w:rsidP="00DD22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76173">
        <w:rPr>
          <w:rFonts w:ascii="黑体" w:eastAsia="黑体" w:hAnsi="黑体" w:cs="仿宋_GB2312" w:hint="eastAsia"/>
          <w:sz w:val="32"/>
          <w:szCs w:val="32"/>
        </w:rPr>
        <w:t>六、其他需要报告的事项。</w:t>
      </w:r>
    </w:p>
    <w:p w14:paraId="68B502A7" w14:textId="506E51F7" w:rsidR="006E33C6" w:rsidRDefault="00CE6938" w:rsidP="00D761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我街道无收取信息处理费情况，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无需要报告的其他事项。</w:t>
      </w:r>
    </w:p>
    <w:sectPr w:rsidR="006E33C6" w:rsidSect="006E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9C54" w14:textId="77777777" w:rsidR="00EB1DB7" w:rsidRDefault="00EB1DB7" w:rsidP="0062583C">
      <w:r>
        <w:separator/>
      </w:r>
    </w:p>
  </w:endnote>
  <w:endnote w:type="continuationSeparator" w:id="0">
    <w:p w14:paraId="7BEBF9D1" w14:textId="77777777" w:rsidR="00EB1DB7" w:rsidRDefault="00EB1DB7" w:rsidP="0062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3DE4" w14:textId="77777777" w:rsidR="00EB1DB7" w:rsidRDefault="00EB1DB7" w:rsidP="0062583C">
      <w:r>
        <w:separator/>
      </w:r>
    </w:p>
  </w:footnote>
  <w:footnote w:type="continuationSeparator" w:id="0">
    <w:p w14:paraId="423AB0D1" w14:textId="77777777" w:rsidR="00EB1DB7" w:rsidRDefault="00EB1DB7" w:rsidP="0062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51976"/>
    <w:multiLevelType w:val="singleLevel"/>
    <w:tmpl w:val="56BE481C"/>
    <w:lvl w:ilvl="0">
      <w:start w:val="1"/>
      <w:numFmt w:val="chineseCounting"/>
      <w:suff w:val="nothing"/>
      <w:lvlText w:val="（%1）"/>
      <w:lvlJc w:val="left"/>
      <w:rPr>
        <w:rFonts w:ascii="黑体" w:eastAsia="黑体" w:hAnsi="黑体" w:cs="仿宋_GB2312"/>
      </w:rPr>
    </w:lvl>
  </w:abstractNum>
  <w:abstractNum w:abstractNumId="1" w15:restartNumberingAfterBreak="0">
    <w:nsid w:val="336438CA"/>
    <w:multiLevelType w:val="singleLevel"/>
    <w:tmpl w:val="CD084504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仿宋_GB2312"/>
      </w:rPr>
    </w:lvl>
  </w:abstractNum>
  <w:abstractNum w:abstractNumId="2" w15:restartNumberingAfterBreak="0">
    <w:nsid w:val="35ED0BD9"/>
    <w:multiLevelType w:val="hybridMultilevel"/>
    <w:tmpl w:val="4D38E164"/>
    <w:lvl w:ilvl="0" w:tplc="5372D6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FF22B12"/>
    <w:multiLevelType w:val="hybridMultilevel"/>
    <w:tmpl w:val="3CD651F8"/>
    <w:lvl w:ilvl="0" w:tplc="F30A64F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819267260">
    <w:abstractNumId w:val="0"/>
  </w:num>
  <w:num w:numId="2" w16cid:durableId="1732070859">
    <w:abstractNumId w:val="1"/>
  </w:num>
  <w:num w:numId="3" w16cid:durableId="1714772924">
    <w:abstractNumId w:val="3"/>
  </w:num>
  <w:num w:numId="4" w16cid:durableId="30516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F1C12AE"/>
    <w:rsid w:val="00065079"/>
    <w:rsid w:val="001237FD"/>
    <w:rsid w:val="00283701"/>
    <w:rsid w:val="003D229E"/>
    <w:rsid w:val="0062583C"/>
    <w:rsid w:val="006E33C6"/>
    <w:rsid w:val="007456A6"/>
    <w:rsid w:val="00860819"/>
    <w:rsid w:val="00981B8A"/>
    <w:rsid w:val="00996961"/>
    <w:rsid w:val="00C72795"/>
    <w:rsid w:val="00CE6938"/>
    <w:rsid w:val="00D60CBC"/>
    <w:rsid w:val="00D76173"/>
    <w:rsid w:val="00DD227D"/>
    <w:rsid w:val="00E96474"/>
    <w:rsid w:val="00EA5B1A"/>
    <w:rsid w:val="00EB1DB7"/>
    <w:rsid w:val="196F4D26"/>
    <w:rsid w:val="67234698"/>
    <w:rsid w:val="6E010C10"/>
    <w:rsid w:val="6F1C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C57A7"/>
  <w15:docId w15:val="{8C804ECA-19C5-477F-960E-2AD13FA6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6E33C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6E33C6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6E33C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62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58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2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58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761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山上一颗包治百病的板蓝根</dc:creator>
  <cp:lastModifiedBy>zong yi</cp:lastModifiedBy>
  <cp:revision>13</cp:revision>
  <dcterms:created xsi:type="dcterms:W3CDTF">2023-01-09T02:51:00Z</dcterms:created>
  <dcterms:modified xsi:type="dcterms:W3CDTF">2023-02-06T05:58:00Z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346D3800F4C445F0BB49190691804D1F</vt:lpwstr>
  </property>
</Properties>
</file>