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区安静街道办事处</w:t>
      </w:r>
    </w:p>
    <w:p>
      <w:pPr>
        <w:pStyle w:val="2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《中华人民共和国政府信息公开条例》和国务院办公厅政府信息与政务公开办公室关于印发《中华人民共和国政府信息公开工作年度报告格式》的通知（国办公开办函〔2021〕30号有关要求，</w:t>
      </w:r>
      <w:r>
        <w:rPr>
          <w:rFonts w:hint="eastAsia" w:ascii="仿宋_GB2312" w:hAnsi="仿宋" w:eastAsia="仿宋_GB2312" w:cs="仿宋"/>
          <w:sz w:val="32"/>
          <w:szCs w:val="32"/>
        </w:rPr>
        <w:t>安静街道</w:t>
      </w:r>
      <w:r>
        <w:rPr>
          <w:rFonts w:hint="eastAsia" w:ascii="仿宋_GB2312" w:hAnsi="仿宋" w:eastAsia="仿宋_GB2312" w:cs="仿宋"/>
          <w:sz w:val="32"/>
          <w:szCs w:val="32"/>
          <w:lang w:eastAsia="zh-Hans"/>
        </w:rPr>
        <w:t>办事处</w:t>
      </w:r>
      <w:r>
        <w:rPr>
          <w:rFonts w:hint="eastAsia" w:ascii="仿宋_GB2312" w:eastAsia="仿宋_GB2312"/>
          <w:sz w:val="32"/>
          <w:szCs w:val="32"/>
        </w:rPr>
        <w:t>认真执行区政府办公室政府信息公开工作要求</w:t>
      </w:r>
      <w:r>
        <w:rPr>
          <w:rFonts w:hint="eastAsia" w:ascii="仿宋_GB2312" w:hAnsi="仿宋" w:eastAsia="仿宋_GB2312" w:cs="仿宋"/>
          <w:sz w:val="32"/>
          <w:szCs w:val="32"/>
        </w:rPr>
        <w:t>，编制了202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年政府信息公开工作年度报告。报告中所列数据统计期限自202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年1月1日起至202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年12月31日止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行政机关主动公开政府信息情况、行政机关收到和处理政府信息公开申请的情况、因政府信息公开工作被申请行政复议、提起行政诉讼的情况、政府信息公开工作存在的主要问题及改进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。本年度报告的电子版，可以通过哈尔滨市道里区人民政府门户网站→政府信息公开专栏→政务信息公开年报查阅或下载，其网址为：http://www.hrbdl.gov.cn。如对本报告有疑问，请联系哈尔滨市</w:t>
      </w:r>
      <w:r>
        <w:rPr>
          <w:rFonts w:hint="eastAsia" w:ascii="仿宋_GB2312" w:hAnsi="仿宋" w:eastAsia="仿宋_GB2312" w:cs="仿宋"/>
          <w:sz w:val="32"/>
          <w:szCs w:val="32"/>
        </w:rPr>
        <w:t>道里区</w:t>
      </w:r>
      <w:r>
        <w:rPr>
          <w:rFonts w:hint="eastAsia" w:ascii="仿宋_GB2312" w:hAnsi="仿宋" w:eastAsia="仿宋_GB2312" w:cs="仿宋"/>
          <w:sz w:val="32"/>
          <w:szCs w:val="32"/>
          <w:lang w:eastAsia="zh-Hans"/>
        </w:rPr>
        <w:t>安静</w:t>
      </w:r>
      <w:r>
        <w:rPr>
          <w:rFonts w:hint="eastAsia" w:ascii="仿宋_GB2312" w:hAnsi="仿宋" w:eastAsia="仿宋_GB2312" w:cs="仿宋"/>
          <w:sz w:val="32"/>
          <w:szCs w:val="32"/>
        </w:rPr>
        <w:t>街道办事处</w:t>
      </w:r>
      <w:r>
        <w:rPr>
          <w:rFonts w:hint="eastAsia" w:ascii="仿宋_GB2312" w:hAnsi="仿宋" w:eastAsia="仿宋_GB2312" w:cs="仿宋"/>
          <w:sz w:val="32"/>
          <w:szCs w:val="32"/>
          <w:lang w:eastAsia="zh-Hans"/>
        </w:rPr>
        <w:t>（联系</w:t>
      </w:r>
      <w:r>
        <w:rPr>
          <w:rFonts w:hint="eastAsia" w:ascii="仿宋_GB2312" w:hAnsi="仿宋" w:eastAsia="仿宋_GB2312" w:cs="仿宋"/>
          <w:sz w:val="32"/>
          <w:szCs w:val="32"/>
        </w:rPr>
        <w:t>地址：哈尔滨市道里区安良街10号，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邮编：150016，</w:t>
      </w:r>
      <w:r>
        <w:rPr>
          <w:rFonts w:hint="eastAsia" w:ascii="仿宋_GB2312" w:hAnsi="仿宋" w:eastAsia="仿宋_GB2312" w:cs="仿宋"/>
          <w:sz w:val="32"/>
          <w:szCs w:val="32"/>
        </w:rPr>
        <w:t>电话：0451-84545920</w:t>
      </w:r>
      <w:r>
        <w:rPr>
          <w:rFonts w:hint="eastAsia" w:ascii="仿宋_GB2312" w:hAnsi="仿宋" w:eastAsia="仿宋_GB2312" w:cs="仿宋"/>
          <w:sz w:val="32"/>
          <w:szCs w:val="32"/>
          <w:lang w:eastAsia="zh-Hans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年，安静街道</w:t>
      </w:r>
      <w:r>
        <w:rPr>
          <w:rFonts w:hint="eastAsia" w:ascii="仿宋_GB2312" w:eastAsia="仿宋_GB2312"/>
          <w:sz w:val="32"/>
          <w:szCs w:val="32"/>
          <w:lang w:eastAsia="zh-CN"/>
        </w:rPr>
        <w:t>着力高效提升政务公开质量和时效性，规范信息发布和管理，</w:t>
      </w:r>
      <w:r>
        <w:rPr>
          <w:rFonts w:hint="eastAsia" w:ascii="仿宋_GB2312" w:eastAsia="仿宋_GB2312"/>
          <w:sz w:val="32"/>
          <w:szCs w:val="32"/>
        </w:rPr>
        <w:t>深入开展了政务公开工作建设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主动公开情况。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依托于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哈尔滨市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道里区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人民政府门户网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对外进行政务信息公开，及时更新信息，回复解答有关我单位的社会热点问题。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安静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街道办事处未接到群众主动要求公开政府信息的申请，本年度尚未发现应主动公开政府信息而未予公开的情况。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完善信息公开保密审查制度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信息发布前，由信息发布主管领导严格审核是否涉秘、是否有不应该发布的敏感词等内容，发现疑点及时请示相关部门审核，</w:t>
      </w:r>
      <w:r>
        <w:rPr>
          <w:rFonts w:hint="eastAsia" w:ascii="仿宋_GB2312" w:eastAsia="仿宋_GB2312"/>
          <w:sz w:val="32"/>
          <w:szCs w:val="32"/>
        </w:rPr>
        <w:t>确保政务信息公开内容无涉及国家秘密和内部敏感事项。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（四）政府信息公开平台建设。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不断压实责任，及时在道里区人民政府门户网站对外更新发布信息，提高政府信息公开工作的质量和水平。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成立街道政府信息公开领导小组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，监督政务公开工作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，由综合办安排专人协调各科室及时补充完善各项政务公开工作，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同时积极参与政务服务培训，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不断提高相关人员的工作能力和业务水平。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645" w:leftChars="0" w:right="0" w:rightChars="0"/>
        <w:jc w:val="both"/>
        <w:textAlignment w:val="auto"/>
        <w:rPr>
          <w:rFonts w:hint="eastAsia" w:ascii="黑体" w:hAnsi="仿宋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9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646" w:leftChars="0" w:right="0" w:rightChars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收到和处理政府信息公开申请情况</w:t>
      </w:r>
    </w:p>
    <w:tbl>
      <w:tblPr>
        <w:tblStyle w:val="3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2520"/>
        <w:gridCol w:w="840"/>
        <w:gridCol w:w="790"/>
        <w:gridCol w:w="690"/>
        <w:gridCol w:w="820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5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645" w:leftChars="0" w:right="0" w:rightChars="0" w:firstLine="0" w:firstLineChars="0"/>
        <w:jc w:val="both"/>
        <w:textAlignment w:val="auto"/>
        <w:rPr>
          <w:rFonts w:hint="eastAsia" w:ascii="黑体" w:hAnsi="仿宋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kern w:val="2"/>
          <w:sz w:val="32"/>
          <w:szCs w:val="32"/>
          <w:lang w:val="en-US" w:eastAsia="zh-CN" w:bidi="ar-SA"/>
        </w:rPr>
        <w:t>政府信息公开行政复议、行政诉讼情况</w:t>
      </w:r>
    </w:p>
    <w:tbl>
      <w:tblPr>
        <w:tblStyle w:val="3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18"/>
        <w:gridCol w:w="597"/>
        <w:gridCol w:w="638"/>
        <w:gridCol w:w="625"/>
        <w:gridCol w:w="679"/>
        <w:gridCol w:w="624"/>
        <w:gridCol w:w="618"/>
        <w:gridCol w:w="604"/>
        <w:gridCol w:w="544"/>
        <w:gridCol w:w="700"/>
        <w:gridCol w:w="659"/>
        <w:gridCol w:w="700"/>
        <w:gridCol w:w="666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3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6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6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3069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70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6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仿宋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kern w:val="2"/>
          <w:sz w:val="32"/>
          <w:szCs w:val="32"/>
          <w:lang w:val="en-US" w:eastAsia="zh-CN" w:bidi="ar-SA"/>
        </w:rPr>
        <w:t>五、政府信息公开工作存在的主要问题及改进情况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（一）存在的问题。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信息公开制度仍需进一步优化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公开力度不够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更新公开内容的速度尚需进一步加快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（二）改进的措施。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一是我街将不断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提高政府信息公开透明度，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完善信息公开制度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按照主动公开、依法公开的要求，对所有需要公开的政务信息，都要主动公开。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二是及时准确更新政府信息，第一时间发布相关内容，确保时效。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仿宋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仿宋" w:eastAsia="黑体" w:cs="仿宋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安静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街道办事处无收取信息处理费情况。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31D2"/>
    <w:multiLevelType w:val="singleLevel"/>
    <w:tmpl w:val="A1F731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GZlMzE2YzVlZWRmZTliMjhiNDgxYmJhM2M0NzYifQ=="/>
  </w:docVars>
  <w:rsids>
    <w:rsidRoot w:val="6F1D5B6D"/>
    <w:rsid w:val="018B4D40"/>
    <w:rsid w:val="01A55E1A"/>
    <w:rsid w:val="01E97548"/>
    <w:rsid w:val="01F9636A"/>
    <w:rsid w:val="021F6013"/>
    <w:rsid w:val="03A217D4"/>
    <w:rsid w:val="03FB5A4C"/>
    <w:rsid w:val="04D47198"/>
    <w:rsid w:val="05D709B3"/>
    <w:rsid w:val="063D51E5"/>
    <w:rsid w:val="0753577A"/>
    <w:rsid w:val="0967261F"/>
    <w:rsid w:val="0B425B2E"/>
    <w:rsid w:val="0BED7182"/>
    <w:rsid w:val="0BF4099A"/>
    <w:rsid w:val="0DCF08CD"/>
    <w:rsid w:val="0FD45DF4"/>
    <w:rsid w:val="11661E5D"/>
    <w:rsid w:val="133915E7"/>
    <w:rsid w:val="15875F52"/>
    <w:rsid w:val="1A0166A8"/>
    <w:rsid w:val="1A4A1582"/>
    <w:rsid w:val="1C643348"/>
    <w:rsid w:val="1CFF4BF8"/>
    <w:rsid w:val="1D392147"/>
    <w:rsid w:val="20510AFE"/>
    <w:rsid w:val="2161642F"/>
    <w:rsid w:val="218B5E7C"/>
    <w:rsid w:val="22E54A50"/>
    <w:rsid w:val="256A7C71"/>
    <w:rsid w:val="28F07388"/>
    <w:rsid w:val="29603C3D"/>
    <w:rsid w:val="2A89084B"/>
    <w:rsid w:val="2E1D6580"/>
    <w:rsid w:val="2FC01877"/>
    <w:rsid w:val="30475A34"/>
    <w:rsid w:val="33DA4AC8"/>
    <w:rsid w:val="38E017D5"/>
    <w:rsid w:val="392C16E7"/>
    <w:rsid w:val="3A0D1C19"/>
    <w:rsid w:val="3A2B6F44"/>
    <w:rsid w:val="3BB026A0"/>
    <w:rsid w:val="3C07491B"/>
    <w:rsid w:val="3C1063F2"/>
    <w:rsid w:val="3DB90E2E"/>
    <w:rsid w:val="3E11646D"/>
    <w:rsid w:val="3F6C2D80"/>
    <w:rsid w:val="413A084F"/>
    <w:rsid w:val="4246749E"/>
    <w:rsid w:val="43846593"/>
    <w:rsid w:val="45BB554A"/>
    <w:rsid w:val="46B53D45"/>
    <w:rsid w:val="47C95F7B"/>
    <w:rsid w:val="4A44605E"/>
    <w:rsid w:val="4B9B0454"/>
    <w:rsid w:val="4C450ADA"/>
    <w:rsid w:val="4C45338A"/>
    <w:rsid w:val="4DEE104C"/>
    <w:rsid w:val="4E187309"/>
    <w:rsid w:val="4F09173E"/>
    <w:rsid w:val="4FA6264C"/>
    <w:rsid w:val="517B41BA"/>
    <w:rsid w:val="51D203F5"/>
    <w:rsid w:val="51E930DF"/>
    <w:rsid w:val="51F83758"/>
    <w:rsid w:val="52A46CF0"/>
    <w:rsid w:val="547F0095"/>
    <w:rsid w:val="5A7A306C"/>
    <w:rsid w:val="5C7D3ABE"/>
    <w:rsid w:val="5CD16C9C"/>
    <w:rsid w:val="5DF64C8A"/>
    <w:rsid w:val="5F3C7765"/>
    <w:rsid w:val="5FD11661"/>
    <w:rsid w:val="60C50CA9"/>
    <w:rsid w:val="60EB4BB4"/>
    <w:rsid w:val="61837D81"/>
    <w:rsid w:val="63A7308B"/>
    <w:rsid w:val="643303B8"/>
    <w:rsid w:val="64FC1363"/>
    <w:rsid w:val="6A412D23"/>
    <w:rsid w:val="6BCC0389"/>
    <w:rsid w:val="6BF34DC4"/>
    <w:rsid w:val="6C65190C"/>
    <w:rsid w:val="6E5C0E9F"/>
    <w:rsid w:val="6EFC4DC2"/>
    <w:rsid w:val="6F1D5B6D"/>
    <w:rsid w:val="71022D70"/>
    <w:rsid w:val="71E40E77"/>
    <w:rsid w:val="72942191"/>
    <w:rsid w:val="729F57FE"/>
    <w:rsid w:val="74F53393"/>
    <w:rsid w:val="76791B90"/>
    <w:rsid w:val="77744497"/>
    <w:rsid w:val="78A961D8"/>
    <w:rsid w:val="795135CA"/>
    <w:rsid w:val="79C10295"/>
    <w:rsid w:val="7BB932B1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2267</Words>
  <Characters>2331</Characters>
  <Lines>0</Lines>
  <Paragraphs>0</Paragraphs>
  <TotalTime>2</TotalTime>
  <ScaleCrop>false</ScaleCrop>
  <LinksUpToDate>false</LinksUpToDate>
  <CharactersWithSpaces>2334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2023-01-09T05:35:00Z</dcterms:created>
  <dc:creator>better me</dc:creator>
  <cp:lastModifiedBy>Y</cp:lastModifiedBy>
  <cp:lastPrinted>2024-01-17T07:10:00Z</cp:lastPrinted>
  <dcterms:modified xsi:type="dcterms:W3CDTF">2024-02-04T01:44:55Z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36A8983D5BA249A9B1DF9E9007B5DBBA_13</vt:lpwstr>
  </property>
</Properties>
</file>