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AD8" w14:textId="77777777" w:rsidR="00F731C6" w:rsidRDefault="00DE27AF" w:rsidP="000121A1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道里区应急管理局</w:t>
      </w:r>
    </w:p>
    <w:p w14:paraId="773D79BF" w14:textId="77777777" w:rsidR="00F731C6" w:rsidRDefault="00DE27AF" w:rsidP="000121A1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2021年政府信息公开工作年度报告</w:t>
      </w:r>
    </w:p>
    <w:p w14:paraId="0C7486F5" w14:textId="77777777" w:rsidR="00F731C6" w:rsidRDefault="00F731C6" w:rsidP="000121A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6D6A0E23" w14:textId="243CEF5C" w:rsidR="00F731C6" w:rsidRPr="000121A1" w:rsidRDefault="00941BD2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以下简称《通知》）的要求</w:t>
      </w:r>
      <w:r w:rsidR="00DE27AF">
        <w:rPr>
          <w:rFonts w:ascii="仿宋_GB2312" w:eastAsia="仿宋_GB2312" w:hAnsi="仿宋" w:cs="仿宋" w:hint="eastAsia"/>
          <w:sz w:val="32"/>
          <w:szCs w:val="32"/>
        </w:rPr>
        <w:t>，道里区应急管理局</w:t>
      </w:r>
      <w:r w:rsidR="00DE27A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根据2021年政府信息公开工作的情况，编制此报告。</w:t>
      </w:r>
      <w:r w:rsidR="000121A1">
        <w:rPr>
          <w:rFonts w:ascii="仿宋_GB2312" w:eastAsia="仿宋_GB2312" w:hAnsi="仿宋_GB2312" w:cs="仿宋_GB2312" w:hint="eastAsia"/>
          <w:sz w:val="32"/>
          <w:szCs w:val="32"/>
        </w:rPr>
        <w:t>本年度报告所列数据统计期限为2021年1月1日至2021年12月31日。</w:t>
      </w:r>
      <w:r w:rsidR="000121A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0121A1">
        <w:rPr>
          <w:rFonts w:ascii="仿宋_GB2312" w:eastAsia="仿宋_GB2312" w:hAnsi="仿宋_GB2312" w:cs="仿宋_GB2312" w:hint="eastAsia"/>
          <w:sz w:val="32"/>
          <w:szCs w:val="32"/>
        </w:rPr>
        <w:t>如对本报告有疑问，</w:t>
      </w:r>
      <w:r w:rsidR="00DE27A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请联系</w:t>
      </w:r>
      <w:r w:rsidR="00DE27AF">
        <w:rPr>
          <w:rFonts w:ascii="仿宋_GB2312" w:eastAsia="仿宋_GB2312" w:hAnsi="仿宋_GB2312" w:cs="仿宋_GB2312" w:hint="eastAsia"/>
          <w:sz w:val="32"/>
          <w:szCs w:val="32"/>
        </w:rPr>
        <w:t>哈尔滨市道里区应急管理局（联系地址：哈尔滨市道里区阳江路71号，电话：0451-84228112）。</w:t>
      </w:r>
    </w:p>
    <w:p w14:paraId="18AD4A35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4B047F89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2021年，道里区应急管理局积极抓好各项工作的推进落实，坚持依法行政，深化信息公开，不断增加应急管理工作透明度，促进了应急管理依法行政和行政权利公开透明运行。</w:t>
      </w:r>
    </w:p>
    <w:p w14:paraId="069D9206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1、领导重视，机制健全。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按照国家和省市区政府对信息公开工作的要求，道里区应急管理局领导班子高度重视，实行了由“主要领导靠前指挥，分管领导亲自部署，综合科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牵头，各相关科室配合”的工作机制，日常信息公开工作主要由综合科负责，配备专人具体负责公开信息的发布、维护和更新等工作。</w:t>
      </w:r>
    </w:p>
    <w:p w14:paraId="65F7AF31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2、厘清职能，科学公开。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全方位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的厘清道里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区应急管理局依法行使的行政权力和依法承担的相应责任，根据相关法规的修订和职权的转变，及时修改或取消相应的事项。依法公开工作职责、机构设置等信息。</w:t>
      </w:r>
    </w:p>
    <w:p w14:paraId="6A08E1C9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3、完善制度，严格审查。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" w:cs="仿宋" w:hint="eastAsia"/>
          <w:sz w:val="32"/>
          <w:szCs w:val="32"/>
        </w:rPr>
        <w:t>中华人民共和国政府信息公开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条例</w:t>
      </w:r>
      <w:r>
        <w:rPr>
          <w:rFonts w:ascii="仿宋_GB2312" w:eastAsia="仿宋_GB2312" w:hAnsi="仿宋" w:cs="仿宋" w:hint="eastAsia"/>
          <w:sz w:val="32"/>
          <w:szCs w:val="32"/>
        </w:rPr>
        <w:t>》的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要求，认真落实信息公开相关制度，建立信息保密制度，严格执行信息公开保密审查相关规定，坚决杜绝敏感、涉密信息违规公开，2021年内未发生泄密事件。</w:t>
      </w:r>
    </w:p>
    <w:p w14:paraId="71CAC6F1" w14:textId="77777777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4、提高效率，加强监督。不断</w:t>
      </w:r>
      <w:r>
        <w:rPr>
          <w:rFonts w:ascii="仿宋_GB2312" w:eastAsia="仿宋_GB2312" w:hAnsi="仿宋_GB2312" w:cs="仿宋_GB2312" w:hint="eastAsia"/>
          <w:sz w:val="32"/>
          <w:szCs w:val="32"/>
        </w:rPr>
        <w:t>改进工作方法，提高信息发布效率，及时更新信息发布资源，不断优化信息统一公开、动态发布实效。政府信息公开工作主动接受社会监督。同时，实时对各职能科室的政府信息公开工作进行检查监督，有效地落实政府信息公开工作。</w:t>
      </w:r>
    </w:p>
    <w:p w14:paraId="0B3EED1C" w14:textId="77777777" w:rsidR="00F731C6" w:rsidRDefault="00DE27AF" w:rsidP="000121A1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1931" w:tblpY="139"/>
        <w:tblOverlap w:val="never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646"/>
        <w:gridCol w:w="2422"/>
        <w:gridCol w:w="1730"/>
      </w:tblGrid>
      <w:tr w:rsidR="00F731C6" w14:paraId="1187D6DF" w14:textId="77777777">
        <w:trPr>
          <w:trHeight w:val="440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11D5" w14:textId="77777777" w:rsidR="00F731C6" w:rsidRDefault="00DE27AF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F731C6" w14:paraId="0E5AEE27" w14:textId="77777777">
        <w:trPr>
          <w:trHeight w:val="440"/>
        </w:trPr>
        <w:tc>
          <w:tcPr>
            <w:tcW w:w="160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EF39" w14:textId="77777777" w:rsidR="00F731C6" w:rsidRDefault="00DE27A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964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818C1" w14:textId="77777777" w:rsidR="00F731C6" w:rsidRDefault="00DE27AF"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41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A5CAE" w14:textId="77777777" w:rsidR="00F731C6" w:rsidRDefault="00DE27AF"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012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284BB" w14:textId="77777777" w:rsidR="00F731C6" w:rsidRDefault="00DE27AF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:rsidR="00F731C6" w14:paraId="1E276A74" w14:textId="77777777">
        <w:trPr>
          <w:trHeight w:val="440"/>
        </w:trPr>
        <w:tc>
          <w:tcPr>
            <w:tcW w:w="160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F714" w14:textId="77777777" w:rsidR="00F731C6" w:rsidRDefault="00F731C6">
            <w:pPr>
              <w:jc w:val="center"/>
            </w:pPr>
          </w:p>
        </w:tc>
        <w:tc>
          <w:tcPr>
            <w:tcW w:w="964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9ADA" w14:textId="77777777" w:rsidR="00F731C6" w:rsidRDefault="00F731C6">
            <w:pPr>
              <w:jc w:val="center"/>
            </w:pPr>
          </w:p>
        </w:tc>
        <w:tc>
          <w:tcPr>
            <w:tcW w:w="141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55D7" w14:textId="77777777" w:rsidR="00F731C6" w:rsidRDefault="00F731C6">
            <w:pPr>
              <w:jc w:val="center"/>
            </w:pPr>
          </w:p>
        </w:tc>
        <w:tc>
          <w:tcPr>
            <w:tcW w:w="1012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FF3B" w14:textId="77777777" w:rsidR="00F731C6" w:rsidRDefault="00F731C6">
            <w:pPr>
              <w:jc w:val="center"/>
            </w:pPr>
          </w:p>
        </w:tc>
      </w:tr>
      <w:tr w:rsidR="00F731C6" w14:paraId="741A957B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ACE5" w14:textId="77777777" w:rsidR="00F731C6" w:rsidRDefault="00DE27AF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9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B557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B6E1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D9B45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731C6" w14:paraId="247B2B6A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593C8" w14:textId="77777777" w:rsidR="00F731C6" w:rsidRDefault="00DE27AF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9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3427D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A7F4A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21778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731C6" w14:paraId="5EB2D05A" w14:textId="77777777">
        <w:trPr>
          <w:trHeight w:val="440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4CAA" w14:textId="77777777" w:rsidR="00F731C6" w:rsidRDefault="00DE27AF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F731C6" w14:paraId="42A7CD09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E830" w14:textId="77777777" w:rsidR="00F731C6" w:rsidRDefault="00DE27A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2498" w14:textId="77777777" w:rsidR="00F731C6" w:rsidRDefault="00DE27AF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F731C6" w14:paraId="37A8BDC7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A8BD" w14:textId="77777777" w:rsidR="00F731C6" w:rsidRDefault="00DE27AF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25AA" w14:textId="77777777" w:rsidR="00F731C6" w:rsidRDefault="00DE27AF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F731C6" w14:paraId="1A9B39F4" w14:textId="77777777">
        <w:trPr>
          <w:trHeight w:val="440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5F05" w14:textId="77777777" w:rsidR="00F731C6" w:rsidRDefault="00DE27AF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F731C6" w14:paraId="119E8A2B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1823" w14:textId="77777777" w:rsidR="00F731C6" w:rsidRDefault="00DE27AF">
            <w:pPr>
              <w:jc w:val="center"/>
            </w:pPr>
            <w:r>
              <w:rPr>
                <w:rFonts w:hint="eastAsia"/>
              </w:rPr>
              <w:lastRenderedPageBreak/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D007" w14:textId="77777777" w:rsidR="00F731C6" w:rsidRDefault="00DE27AF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F731C6" w14:paraId="0C3AD10C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3D23" w14:textId="77777777" w:rsidR="00F731C6" w:rsidRDefault="00DE27AF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0CF5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731C6" w14:paraId="2ACC6098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7C1F" w14:textId="77777777" w:rsidR="00F731C6" w:rsidRDefault="00DE27AF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8509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731C6" w14:paraId="5C74E2AF" w14:textId="77777777">
        <w:trPr>
          <w:trHeight w:val="440"/>
        </w:trPr>
        <w:tc>
          <w:tcPr>
            <w:tcW w:w="5000" w:type="pct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7524" w14:textId="77777777" w:rsidR="00F731C6" w:rsidRDefault="00DE27AF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F731C6" w14:paraId="75AD5B29" w14:textId="77777777">
        <w:trPr>
          <w:trHeight w:val="440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301D" w14:textId="77777777" w:rsidR="00F731C6" w:rsidRDefault="00DE27A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8886" w14:textId="77777777" w:rsidR="00F731C6" w:rsidRDefault="00DE27AF"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F731C6" w14:paraId="664240C4" w14:textId="77777777">
        <w:trPr>
          <w:trHeight w:val="463"/>
        </w:trPr>
        <w:tc>
          <w:tcPr>
            <w:tcW w:w="16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F35F9" w14:textId="77777777" w:rsidR="00F731C6" w:rsidRDefault="00DE27AF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33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5186" w14:textId="77777777" w:rsidR="00F731C6" w:rsidRDefault="00DE27A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16BB9D29" w14:textId="77777777" w:rsidR="00F731C6" w:rsidRDefault="00DE27AF" w:rsidP="000121A1">
      <w:pPr>
        <w:tabs>
          <w:tab w:val="left" w:pos="640"/>
        </w:tabs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三、收到和处理政府信息公开申请情况</w:t>
      </w:r>
    </w:p>
    <w:tbl>
      <w:tblPr>
        <w:tblpPr w:leftFromText="180" w:rightFromText="180" w:vertAnchor="text" w:horzAnchor="page" w:tblpX="1837" w:tblpY="328"/>
        <w:tblOverlap w:val="never"/>
        <w:tblW w:w="51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36"/>
        <w:gridCol w:w="2885"/>
        <w:gridCol w:w="574"/>
        <w:gridCol w:w="544"/>
        <w:gridCol w:w="472"/>
        <w:gridCol w:w="563"/>
        <w:gridCol w:w="554"/>
        <w:gridCol w:w="494"/>
        <w:gridCol w:w="535"/>
      </w:tblGrid>
      <w:tr w:rsidR="00F731C6" w14:paraId="3C27328D" w14:textId="77777777" w:rsidTr="00F71BDC">
        <w:trPr>
          <w:trHeight w:hRule="exact" w:val="433"/>
        </w:trPr>
        <w:tc>
          <w:tcPr>
            <w:tcW w:w="4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8EE55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C14D0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731C6" w14:paraId="30D1B6C5" w14:textId="77777777" w:rsidTr="00F71BDC">
        <w:trPr>
          <w:trHeight w:hRule="exact" w:val="433"/>
        </w:trPr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B0D89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31117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94C5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1552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731C6" w14:paraId="6A9A53E3" w14:textId="77777777" w:rsidTr="00F71BDC">
        <w:trPr>
          <w:trHeight w:hRule="exact" w:val="921"/>
        </w:trPr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5E15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4683" w14:textId="77777777" w:rsidR="00F731C6" w:rsidRDefault="00F731C6" w:rsidP="000121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0E53B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1416F9E1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CE05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61B82F6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06D6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 w14:paraId="5FB6351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 w14:paraId="6C1F2B7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4317B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 w14:paraId="217AF1D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 w14:paraId="049D44EB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9422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4AF00" w14:textId="77777777" w:rsidR="00F731C6" w:rsidRDefault="00F731C6" w:rsidP="000121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731C6" w14:paraId="2FD07297" w14:textId="77777777" w:rsidTr="00F71BDC">
        <w:trPr>
          <w:trHeight w:hRule="exact" w:val="426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10D8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FFF19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A0048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8559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9FB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A1FE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772CE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4C010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29855F31" w14:textId="77777777" w:rsidTr="00F71BDC">
        <w:trPr>
          <w:trHeight w:hRule="exact" w:val="414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8C6CC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F65F0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67C55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CA20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5FAE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6E5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5575F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F59C9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4697CAC4" w14:textId="77777777" w:rsidTr="00F71BDC">
        <w:trPr>
          <w:trHeight w:hRule="exact" w:val="39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1AAD2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3A31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C460A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7B81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F92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8B45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C4F4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9CABA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03386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20253EF1" w14:textId="77777777" w:rsidTr="00F71BDC">
        <w:trPr>
          <w:trHeight w:hRule="exact" w:val="64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AAB14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EAFD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（二）部分公开</w:t>
            </w:r>
            <w:r>
              <w:rPr>
                <w:rStyle w:val="font11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EC1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E649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388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EA0F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0D94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AF38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8E9F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FAA7810" w14:textId="77777777" w:rsidTr="00F71BDC">
        <w:trPr>
          <w:trHeight w:hRule="exact" w:val="3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C6796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EBCA2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A77635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6EA38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8518F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1B6CCF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2A1A1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636C1F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BCC92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E7D802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5AC87721" w14:textId="77777777" w:rsidTr="00F71BDC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EF7A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C0A4A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6F39319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5EF43B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CC669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E88323B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FBBBA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5AD4A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9DD6F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4CFE6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F9EEF9E" w14:textId="77777777" w:rsidTr="00F71BDC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F124A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90E7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16CB699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2A5ECC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278E53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FEF3F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E1CA9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25820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FA46E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7E9EC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04642738" w14:textId="77777777" w:rsidTr="00F71BDC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75BD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9885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A7FD61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B074F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84E66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87C4C0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93D09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B61EB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C49DCE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FE6CD70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A5B495C" w14:textId="77777777" w:rsidTr="00F71BDC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479E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3BB0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AF86C3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D1A6A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F431C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25C36F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C738A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D4B1B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B26D8F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21C3A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5F3A95C2" w14:textId="77777777" w:rsidTr="00F71BDC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A4603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C90AB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946D713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B5BD6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301FE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14430E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14641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5160C2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F9E37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98492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598539F4" w14:textId="77777777" w:rsidTr="00F71BDC">
        <w:trPr>
          <w:trHeight w:hRule="exact" w:val="3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02FB5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312BC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72AA4A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FB934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4CEB32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E7BB0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6FFAC0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784FC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98819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AF8B7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141A823" w14:textId="77777777" w:rsidTr="00F71BDC">
        <w:trPr>
          <w:trHeight w:hRule="exact" w:val="31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D1F8D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6339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6B7D57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B4415B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3C163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2D849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6436BD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38C132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C7C46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C6088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A76B674" w14:textId="77777777" w:rsidTr="00F71BDC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C2E0A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220D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E2A46A2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E47CA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8E2D2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66933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29CC3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8B444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C70E6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80E24E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1D1EF5F" w14:textId="77777777" w:rsidTr="00F71BDC">
        <w:trPr>
          <w:trHeight w:hRule="exact" w:val="366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28477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9AAE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9AC9B1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388C40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69645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3A54F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D9490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D3D3E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754BD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EC3C4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576E9883" w14:textId="77777777" w:rsidTr="00F71BDC">
        <w:trPr>
          <w:trHeight w:hRule="exact" w:val="35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8FF75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CED5E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8BAFC06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6359F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7ED56F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CEDD7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12E56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8F7DC6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CF9E3B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F6217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4F119339" w14:textId="77777777" w:rsidTr="00F71BDC">
        <w:trPr>
          <w:trHeight w:hRule="exact" w:val="35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C1F7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FB8A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CCE307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2E742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B2B22F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E8F79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46EF32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F73322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58D0B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4C241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7F56F95F" w14:textId="77777777" w:rsidTr="00F71BDC">
        <w:trPr>
          <w:trHeight w:hRule="exact" w:val="33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9C33A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379E3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F7D002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4F3AEB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81D7E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45833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C72F2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685C55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2AB0410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5C7DC31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19A9A756" w14:textId="77777777" w:rsidTr="00F71BDC">
        <w:trPr>
          <w:trHeight w:hRule="exact" w:val="33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ACD8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8B3B5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F30D68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5622E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86B74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31650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FD6F4B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A38177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AA776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7B303E8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3C74AB32" w14:textId="77777777" w:rsidTr="00F71BDC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54FBB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08955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9B157E5" w14:textId="77777777" w:rsidR="00F731C6" w:rsidRDefault="00DE27AF" w:rsidP="000121A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85DA1D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0D4FE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BFCBDA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FC5019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99AA1E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203556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AB089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332037D3" w14:textId="77777777" w:rsidTr="00F71BDC">
        <w:trPr>
          <w:trHeight w:hRule="exact" w:val="60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750E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81DD" w14:textId="77777777" w:rsidR="00F731C6" w:rsidRDefault="00F731C6" w:rsidP="000121A1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5C4B7" w14:textId="77777777" w:rsidR="00F731C6" w:rsidRDefault="00DE27AF" w:rsidP="000121A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887A9F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FD4ECF2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92C8D2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2EF004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BA871E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DE768C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769ADE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2B557B95" w14:textId="77777777" w:rsidTr="00F71BDC">
        <w:trPr>
          <w:trHeight w:val="614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A792F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F09F" w14:textId="77777777" w:rsidR="00F731C6" w:rsidRDefault="00DE27AF" w:rsidP="000121A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（六）其他处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6B0A5" w14:textId="77777777" w:rsidR="00F731C6" w:rsidRDefault="00DE27AF" w:rsidP="000121A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37C36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0E65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1E5F2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F6A07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364B7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6F9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5972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3CF61103" w14:textId="77777777" w:rsidTr="00F71BDC">
        <w:trPr>
          <w:trHeight w:val="65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BBA1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4C152" w14:textId="77777777" w:rsidR="00F731C6" w:rsidRDefault="00F731C6" w:rsidP="000121A1">
            <w:pPr>
              <w:jc w:val="left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91240" w14:textId="77777777" w:rsidR="00F731C6" w:rsidRDefault="00DE27AF" w:rsidP="000121A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DE236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1DF6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593B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17BB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D3EF8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885C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FD0A37" w14:textId="77777777" w:rsidR="00F731C6" w:rsidRDefault="00F731C6" w:rsidP="000121A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B7D9CD3" w14:textId="77777777" w:rsidR="00F731C6" w:rsidRDefault="00DE27AF" w:rsidP="000121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60B77751" w14:textId="77777777" w:rsidTr="00F71BDC">
        <w:trPr>
          <w:trHeight w:val="40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76912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AE3C" w14:textId="77777777" w:rsidR="00F731C6" w:rsidRDefault="00F731C6" w:rsidP="000121A1">
            <w:pPr>
              <w:jc w:val="left"/>
              <w:rPr>
                <w:rFonts w:eastAsia="宋体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6ED57" w14:textId="77777777" w:rsidR="00F731C6" w:rsidRDefault="00DE27AF" w:rsidP="000121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3.其它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0FA0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0520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8B042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ED7A0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F483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B01E9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5950397" w14:textId="77777777" w:rsidR="00F731C6" w:rsidRDefault="00DE27AF" w:rsidP="000121A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6B5F4D9A" w14:textId="77777777" w:rsidTr="00F71BDC">
        <w:trPr>
          <w:trHeight w:val="40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958DB" w14:textId="77777777" w:rsidR="00F731C6" w:rsidRDefault="00F731C6" w:rsidP="000121A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C21E" w14:textId="77777777" w:rsidR="00F731C6" w:rsidRDefault="00DE27AF" w:rsidP="000121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DCC8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9D01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2F99E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FC77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2172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7DF71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43C166" w14:textId="77777777" w:rsidR="00F731C6" w:rsidRDefault="00DE27AF" w:rsidP="000121A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731C6" w14:paraId="3E56576A" w14:textId="77777777" w:rsidTr="00F71BDC">
        <w:trPr>
          <w:trHeight w:val="462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0E32" w14:textId="77777777" w:rsidR="00F731C6" w:rsidRDefault="00DE27AF" w:rsidP="000121A1">
            <w:pPr>
              <w:widowControl/>
              <w:ind w:firstLineChars="100" w:firstLine="210"/>
              <w:textAlignment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A7AB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980D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CFA13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6C18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893E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2F607" w14:textId="77777777" w:rsidR="00F731C6" w:rsidRDefault="00DE27AF" w:rsidP="000121A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F5309A" w14:textId="77777777" w:rsidR="00F731C6" w:rsidRDefault="00DE27AF" w:rsidP="000121A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EBAB8C1" w14:textId="77777777" w:rsidR="00F71BDC" w:rsidRDefault="00F71BDC" w:rsidP="00F71BDC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:rsidR="00F71BDC" w14:paraId="39C85BE6" w14:textId="77777777" w:rsidTr="00D46B89">
        <w:trPr>
          <w:trHeight w:val="720"/>
          <w:jc w:val="center"/>
        </w:trPr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E8FF1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4E37F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71BDC" w14:paraId="2977F587" w14:textId="77777777" w:rsidTr="00D46B89">
        <w:trPr>
          <w:trHeight w:val="799"/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5B73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31CE6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88065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5830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1DCC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3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A1EC2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AD7DC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71BDC" w14:paraId="1157D26C" w14:textId="77777777" w:rsidTr="00D46B89">
        <w:trPr>
          <w:trHeight w:val="1320"/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1761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4CE30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6DB49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3CD1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4C15E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09C4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7D25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7BF38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ABD3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8762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8A40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99650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4577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DCE3A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D8BC4" w14:textId="77777777" w:rsidR="00F71BDC" w:rsidRDefault="00F71BDC" w:rsidP="00D46B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</w:tr>
      <w:tr w:rsidR="00F71BDC" w14:paraId="630CE49D" w14:textId="77777777" w:rsidTr="00D46B89">
        <w:trPr>
          <w:trHeight w:val="6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02238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DA5E5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21D3A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2E82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D1568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0B01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1DF22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F6EB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477F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DC0D6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8238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F8C32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FDAE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DD9CC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3BEE" w14:textId="77777777" w:rsidR="00F71BDC" w:rsidRDefault="00F71BDC" w:rsidP="00D46B8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</w:tbl>
    <w:p w14:paraId="562CD3A2" w14:textId="77777777" w:rsidR="00F731C6" w:rsidRDefault="00DE27AF" w:rsidP="000121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2817A614" w14:textId="07D8A9E8" w:rsidR="00F731C6" w:rsidRDefault="00DE27AF" w:rsidP="000121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1、存在的主要问题</w:t>
      </w:r>
      <w:r w:rsidR="000121A1"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2021年，道里区应急管理局政府信息公开工作取得了一定进步，公开质量不断提高，但还存在一些不足：一是政府信息公开的内容还不够全面；二是各职能科室的政府信息公开意识有待进一步提高。</w:t>
      </w:r>
    </w:p>
    <w:p w14:paraId="11A9E532" w14:textId="3707975A" w:rsidR="00F731C6" w:rsidRPr="000121A1" w:rsidRDefault="00DE27AF" w:rsidP="000121A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2、改进情况</w:t>
      </w:r>
      <w:r w:rsidR="000121A1"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认真贯彻国家和省市区关于政府信息公开工作的要求部署，采取有效措施，深入推进政府信息公开工作。一是加强学习，进一步提高全局干部职工对政府信息公开工作的认识，提升工作责任感；二是丰富公开内容，进一步加强对公众关注度高的政府信息及时梳理，有效地扩大公开信息覆盖面；三是强化协调配合，形成工作合力，不断提高政府信息公开水平。</w:t>
      </w:r>
    </w:p>
    <w:p w14:paraId="3DCA5C59" w14:textId="77777777" w:rsidR="00F731C6" w:rsidRDefault="00DE27AF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六、其他需要报告的事项</w:t>
      </w:r>
    </w:p>
    <w:p w14:paraId="2013C2B2" w14:textId="11B1153A" w:rsidR="00F731C6" w:rsidRDefault="00DE27AF" w:rsidP="000121A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无收取信息处理费情况。</w:t>
      </w:r>
    </w:p>
    <w:sectPr w:rsidR="00F7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DA80" w14:textId="77777777" w:rsidR="003F7373" w:rsidRDefault="003F7373" w:rsidP="000121A1">
      <w:r>
        <w:separator/>
      </w:r>
    </w:p>
  </w:endnote>
  <w:endnote w:type="continuationSeparator" w:id="0">
    <w:p w14:paraId="4AAEE609" w14:textId="77777777" w:rsidR="003F7373" w:rsidRDefault="003F7373" w:rsidP="0001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AEF4" w14:textId="77777777" w:rsidR="003F7373" w:rsidRDefault="003F7373" w:rsidP="000121A1">
      <w:r>
        <w:separator/>
      </w:r>
    </w:p>
  </w:footnote>
  <w:footnote w:type="continuationSeparator" w:id="0">
    <w:p w14:paraId="5B11C913" w14:textId="77777777" w:rsidR="003F7373" w:rsidRDefault="003F7373" w:rsidP="0001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57"/>
    <w:rsid w:val="AE8E3450"/>
    <w:rsid w:val="BF570A10"/>
    <w:rsid w:val="FFBA68A3"/>
    <w:rsid w:val="000121A1"/>
    <w:rsid w:val="003F7373"/>
    <w:rsid w:val="007A3F82"/>
    <w:rsid w:val="008D17FD"/>
    <w:rsid w:val="00941BD2"/>
    <w:rsid w:val="00A43522"/>
    <w:rsid w:val="00B140AB"/>
    <w:rsid w:val="00CA5157"/>
    <w:rsid w:val="00DE27AF"/>
    <w:rsid w:val="00E33AF5"/>
    <w:rsid w:val="00F71BDC"/>
    <w:rsid w:val="00F731C6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8D17556"/>
    <w:rsid w:val="1A137442"/>
    <w:rsid w:val="1EF75D06"/>
    <w:rsid w:val="1FA05438"/>
    <w:rsid w:val="22A3560C"/>
    <w:rsid w:val="24382901"/>
    <w:rsid w:val="2F82742E"/>
    <w:rsid w:val="2FBE3E41"/>
    <w:rsid w:val="319A341E"/>
    <w:rsid w:val="343429CA"/>
    <w:rsid w:val="39B045F8"/>
    <w:rsid w:val="3A2452D5"/>
    <w:rsid w:val="40202362"/>
    <w:rsid w:val="41804167"/>
    <w:rsid w:val="433621B5"/>
    <w:rsid w:val="463E7B6A"/>
    <w:rsid w:val="4E383BD7"/>
    <w:rsid w:val="50FE4637"/>
    <w:rsid w:val="530B19B7"/>
    <w:rsid w:val="571434F1"/>
    <w:rsid w:val="57AF2EA4"/>
    <w:rsid w:val="57DB1B3D"/>
    <w:rsid w:val="58D345D7"/>
    <w:rsid w:val="5A8E1572"/>
    <w:rsid w:val="5E4663AE"/>
    <w:rsid w:val="64A42346"/>
    <w:rsid w:val="65064610"/>
    <w:rsid w:val="663724A2"/>
    <w:rsid w:val="673A2091"/>
    <w:rsid w:val="6B383F13"/>
    <w:rsid w:val="6EE35DC4"/>
    <w:rsid w:val="738B68E0"/>
    <w:rsid w:val="7AB11913"/>
    <w:rsid w:val="7BEE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FCCC5"/>
  <w15:docId w15:val="{EFBE4B5E-FC56-4641-A295-5921A92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383</Words>
  <Characters>2186</Characters>
  <Application>Microsoft Office Word</Application>
  <DocSecurity>0</DocSecurity>
  <Lines>18</Lines>
  <Paragraphs>5</Paragraphs>
  <ScaleCrop>false</ScaleCrop>
  <Company>微软中国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Administrator.2013-20160603DX</dc:creator>
  <cp:lastModifiedBy>wu di</cp:lastModifiedBy>
  <cp:revision>7</cp:revision>
  <cp:lastPrinted>2022-01-14T05:37:00Z</cp:lastPrinted>
  <dcterms:created xsi:type="dcterms:W3CDTF">2014-10-30T12:08:00Z</dcterms:created>
  <dcterms:modified xsi:type="dcterms:W3CDTF">2022-01-21T07:18:00Z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669392FE23784AAC9FB8D37B1F0FF3BA</vt:lpwstr>
  </property>
</Properties>
</file>