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道里区卫生健康局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spacing w:line="600" w:lineRule="exact"/>
        <w:rPr>
          <w:rFonts w:ascii="方正小标宋简体" w:hAnsi="方正小标宋简体" w:eastAsia="方正小标宋简体" w:cs="方正小标宋简体"/>
          <w:sz w:val="44"/>
          <w:szCs w:val="44"/>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根据</w:t>
      </w:r>
      <w:r>
        <w:rPr>
          <w:rFonts w:hint="eastAsia" w:ascii="仿宋_GB2312" w:hAnsi="仿宋_GB2312" w:eastAsia="仿宋_GB2312" w:cs="仿宋_GB2312"/>
          <w:sz w:val="32"/>
          <w:szCs w:val="32"/>
          <w:shd w:val="clear" w:color="auto" w:fill="FFFFFF"/>
        </w:rPr>
        <w:t>新修订的《中华人民共和国政府信息公开条例》（中华人民共和国国务院令第711号，以下简称《条例》）规定和</w:t>
      </w:r>
      <w:r>
        <w:rPr>
          <w:rFonts w:hint="eastAsia" w:ascii="仿宋_GB2312" w:hAnsi="仿宋" w:eastAsia="仿宋_GB2312" w:cs="仿宋"/>
          <w:sz w:val="32"/>
          <w:szCs w:val="32"/>
        </w:rPr>
        <w:t>《国务院办公厅政府信息与政务公开办公室关于政府信息公开工作年度报告有关事项的通知》（国办公开办函〔2019〕60号，以下简称《通知》）的要求，</w:t>
      </w:r>
      <w:r>
        <w:rPr>
          <w:rFonts w:hint="eastAsia" w:ascii="仿宋_GB2312" w:hAnsi="仿宋_GB2312" w:eastAsia="仿宋_GB2312" w:cs="仿宋_GB2312"/>
          <w:sz w:val="32"/>
          <w:szCs w:val="32"/>
          <w:shd w:val="clear" w:color="auto" w:fill="FFFFFF"/>
        </w:rPr>
        <w:t>我局在总结2020年政府信息公开工作的基础上，编制了此报告。</w:t>
      </w:r>
      <w:r>
        <w:rPr>
          <w:rFonts w:hint="eastAsia" w:ascii="仿宋_GB2312" w:hAnsi="Times New Roman" w:eastAsia="仿宋_GB2312" w:cs="仿宋_GB2312"/>
          <w:sz w:val="32"/>
          <w:szCs w:val="32"/>
        </w:rPr>
        <w:t>本年度报告所列数据统计期限为2020年1月1日至2020年12月31日。</w:t>
      </w:r>
      <w:r>
        <w:rPr>
          <w:rFonts w:hint="eastAsia" w:ascii="仿宋_GB2312" w:hAnsi="仿宋_GB2312" w:eastAsia="仿宋_GB2312" w:cs="仿宋_GB2312"/>
          <w:sz w:val="32"/>
          <w:szCs w:val="32"/>
          <w:shd w:val="clear" w:color="auto" w:fill="FFFFFF"/>
        </w:rPr>
        <w:t>本年度报告包括总体情况、主动公开政府信息情况、收到和处理政府信息公开申请情况、政府信息公开行政复议行政诉讼情况、存在的主要问题及改进情况、其他需要报告的事项。本年度报告的电子版，可以通过哈尔滨市道里区人民政府门户网站→政府信息公开专栏→政务信息公开年报查阅或下载，如对本报告有疑问，请联系哈尔滨市</w:t>
      </w:r>
      <w:r>
        <w:rPr>
          <w:rFonts w:hint="eastAsia" w:ascii="仿宋_GB2312" w:hAnsi="仿宋" w:eastAsia="仿宋_GB2312" w:cs="仿宋"/>
          <w:sz w:val="32"/>
          <w:szCs w:val="32"/>
        </w:rPr>
        <w:t>道里区卫生健康局（联系地址：哈尔滨市道里区西五道街街30号，邮编：150018，电话：0451-84682946）。</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截至目前，我局共梳理公开政务服务事项53项，均在“黑龙江省政务服务网”对外公开公示，其中51项可实现网上办理、36项已纳入政务大厅窗口受理、所有服务事项在办理过程中都不收取任何费用。</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（一）提高政治站位，坚持“一把手走流程”。</w:t>
      </w:r>
      <w:r>
        <w:rPr>
          <w:rFonts w:hint="eastAsia" w:ascii="仿宋_GB2312" w:hAnsi="仿宋_GB2312" w:eastAsia="仿宋_GB2312" w:cs="仿宋_GB2312"/>
          <w:sz w:val="32"/>
          <w:szCs w:val="32"/>
        </w:rPr>
        <w:t>我局高度重视政府信息公开工作及优化营商环境工作，通过多次召开局机关党政班子（扩大）会议集体研究如何进一步改进作风、优化政务服务流程。9月8日下午，我局党政一把手与纪检书记共同深入政务大厅卫生健康窗口，在检查窗口工作人员工作纪律、服务态度、服务质量的同时，结合以往的办件数量，针对办理频次较高的公共场所卫生许可证审批事项，以普通办事人的角度亲身体验网上办事流程。</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（二）优服务、提质效，全力打造人民满意窗口。</w:t>
      </w:r>
      <w:r>
        <w:rPr>
          <w:rFonts w:hint="eastAsia" w:ascii="仿宋_GB2312" w:hAnsi="仿宋_GB2312" w:eastAsia="仿宋_GB2312" w:cs="仿宋_GB2312"/>
          <w:sz w:val="32"/>
          <w:szCs w:val="32"/>
        </w:rPr>
        <w:t>我局在积极与上级主管部门沟通的前提下，结合自身实际情况，全力开展政务服务事项的办理要件精简、办理流程优化和办理时限压缩。</w:t>
      </w:r>
      <w:r>
        <w:rPr>
          <w:rFonts w:hint="eastAsia" w:ascii="楷体_GB2312" w:hAnsi="楷体_GB2312" w:eastAsia="楷体_GB2312" w:cs="楷体_GB2312"/>
          <w:b/>
          <w:bCs/>
          <w:sz w:val="32"/>
          <w:szCs w:val="32"/>
        </w:rPr>
        <w:t>在精简办理要件方面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我局进一步对5项政务服务事项的办理要件进行了优化，共精简要件7个。我局积极推行“告知承诺制”，新发公共场所《卫生许可证》在办理过程中，从业人员名单、健康证、检测报告、卫生制度可以在《卫生许可证》发证之日起两个月内提交完毕即可，方便企业正常营业。</w:t>
      </w:r>
      <w:r>
        <w:rPr>
          <w:rFonts w:hint="eastAsia" w:ascii="楷体_GB2312" w:hAnsi="楷体_GB2312" w:eastAsia="楷体_GB2312" w:cs="楷体_GB2312"/>
          <w:b/>
          <w:bCs/>
          <w:sz w:val="32"/>
          <w:szCs w:val="32"/>
        </w:rPr>
        <w:t>在优化办理流程方面，</w:t>
      </w:r>
      <w:r>
        <w:rPr>
          <w:rFonts w:hint="eastAsia" w:ascii="仿宋_GB2312" w:hAnsi="仿宋_GB2312" w:eastAsia="仿宋_GB2312" w:cs="仿宋_GB2312"/>
          <w:sz w:val="32"/>
          <w:szCs w:val="32"/>
        </w:rPr>
        <w:t>我局将办理流程由170项优化到106项，共精简环节64项；其中政务大厅窗口所有服务事项的办理流程均由3项变为2项，实现了审批环节的最优化。</w:t>
      </w:r>
      <w:r>
        <w:rPr>
          <w:rFonts w:hint="eastAsia" w:ascii="楷体_GB2312" w:hAnsi="楷体_GB2312" w:eastAsia="楷体_GB2312" w:cs="楷体_GB2312"/>
          <w:b/>
          <w:bCs/>
          <w:sz w:val="32"/>
          <w:szCs w:val="32"/>
        </w:rPr>
        <w:t>在压缩办理时限方面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我局将办理时限由法定的1859天优化到480天，精简时限1478天，精简率达到79.5%。我局所有服务事项的承诺办理时限均优化到30天之内（目前有2项行政给付办理时限正在政务平台更改中），其中政务大厅纳入的36项服务事项的承诺办理时限压缩到10天之内，有13项服务事项在申请人审批要件齐全的情况下能够实现“即时办理”，实现了政务服务事项流程的最优化。</w:t>
      </w:r>
      <w:r>
        <w:rPr>
          <w:rFonts w:hint="eastAsia" w:ascii="楷体_GB2312" w:hAnsi="楷体_GB2312" w:eastAsia="楷体_GB2312" w:cs="楷体_GB2312"/>
          <w:b/>
          <w:bCs/>
          <w:sz w:val="32"/>
          <w:szCs w:val="32"/>
        </w:rPr>
        <w:t>在落实“一网通办”工作方面，</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我局政务大厅窗口制定完善的、与实际流程完全一致的办事服务指南，将办理依据、办理条件、申报材料、办理时限、办理流程等内容对申请人进行一次性告知，“办事指南合格率”为100%。</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除2项授权乡镇街道受理的行政给付事项外，我局其余51项服务事项均实现网上受理，“网上可办率”达到96.2%。</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我局按照 “统一服务入口”要求，将所有行政服务审批事项全部录入“政务系统网”，申请人可通过网上提交材料进行审核，同时我局政务大厅窗口设立申请表格专用下载邮箱，方便办事群众获取申请表空表、样表、服务指南和相关卫生制度等服务事项办理所需相关材料。我局51项可网办的政务服务事项中，有27项政务服务事项可实现在申请人提供的申请材料符合法定形式和有关规定的，从提出申请到收到半截结果全程不需要到现场办理，“不见面率”达52.9%。</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通过便捷的网上查询与申请、推行邮费自理的寄送服务等方式，我局所有政务服务事项均能实现“最多跑一次”乃至“零跑腿”的目标，“最多跑一次”比率达100%。</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二、主动公开政府信息情况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00"/>
        <w:gridCol w:w="1831"/>
        <w:gridCol w:w="206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4"/>
            <w:shd w:val="clear" w:color="auto" w:fill="C6D9F1"/>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信息内容</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本年新制作数量</w:t>
            </w:r>
          </w:p>
        </w:tc>
        <w:tc>
          <w:tcPr>
            <w:tcW w:w="1238"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本年新公开数量</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规章</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1238"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规范性文件</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1238"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000" w:type="pct"/>
            <w:gridSpan w:val="4"/>
            <w:shd w:val="clear" w:color="auto" w:fill="C6D9F1"/>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信息内容</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上一年项目数量</w:t>
            </w:r>
          </w:p>
        </w:tc>
        <w:tc>
          <w:tcPr>
            <w:tcW w:w="1238"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本年增/减</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行政许可</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32</w:t>
            </w:r>
          </w:p>
        </w:tc>
        <w:tc>
          <w:tcPr>
            <w:tcW w:w="123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rPr>
              <w:t>+</w:t>
            </w:r>
            <w:r>
              <w:rPr>
                <w:rFonts w:hint="eastAsia" w:ascii="宋体" w:hAnsi="宋体" w:eastAsia="宋体" w:cs="宋体"/>
                <w:kern w:val="0"/>
                <w:sz w:val="20"/>
                <w:szCs w:val="20"/>
              </w:rPr>
              <w:t>2</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其他对外管理服务事项</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123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4"/>
            <w:shd w:val="clear" w:color="auto" w:fill="C6D9F1"/>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信息内容</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上一年项目数量</w:t>
            </w:r>
          </w:p>
        </w:tc>
        <w:tc>
          <w:tcPr>
            <w:tcW w:w="1238"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本年增/减</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行政处罚</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27</w:t>
            </w:r>
          </w:p>
        </w:tc>
        <w:tc>
          <w:tcPr>
            <w:tcW w:w="123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rPr>
              <w:t>-</w:t>
            </w:r>
            <w:r>
              <w:rPr>
                <w:rFonts w:hint="eastAsia" w:ascii="宋体" w:hAnsi="宋体" w:eastAsia="宋体" w:cs="宋体"/>
                <w:kern w:val="0"/>
                <w:sz w:val="20"/>
                <w:szCs w:val="20"/>
              </w:rPr>
              <w:t>16</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ascii="宋体" w:hAnsi="宋体" w:eastAsia="宋体" w:cs="宋体"/>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行政强制</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123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1103"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4"/>
            <w:shd w:val="clear" w:color="auto" w:fill="C6D9F1"/>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信息内容</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上一年项目数量</w:t>
            </w:r>
          </w:p>
        </w:tc>
        <w:tc>
          <w:tcPr>
            <w:tcW w:w="2341" w:type="pct"/>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行政事业性收费</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2341" w:type="pct"/>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5000" w:type="pct"/>
            <w:gridSpan w:val="4"/>
            <w:shd w:val="clear" w:color="auto" w:fill="C6D9F1"/>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信息内容</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采购项目数量</w:t>
            </w:r>
          </w:p>
        </w:tc>
        <w:tc>
          <w:tcPr>
            <w:tcW w:w="2341" w:type="pct"/>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560"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政府集中采购</w:t>
            </w:r>
          </w:p>
        </w:tc>
        <w:tc>
          <w:tcPr>
            <w:tcW w:w="1098" w:type="pct"/>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0</w:t>
            </w:r>
          </w:p>
        </w:tc>
        <w:tc>
          <w:tcPr>
            <w:tcW w:w="2341" w:type="pct"/>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0</w:t>
            </w:r>
          </w:p>
        </w:tc>
      </w:tr>
    </w:tbl>
    <w:p>
      <w:pPr>
        <w:spacing w:line="600" w:lineRule="exact"/>
        <w:ind w:left="64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3"/>
        <w:gridCol w:w="902"/>
        <w:gridCol w:w="1455"/>
        <w:gridCol w:w="643"/>
        <w:gridCol w:w="667"/>
        <w:gridCol w:w="678"/>
        <w:gridCol w:w="1025"/>
        <w:gridCol w:w="1002"/>
        <w:gridCol w:w="63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776" w:type="pct"/>
            <w:gridSpan w:val="3"/>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（本列数据的勾稽关系为：第一项加第二项之和，等于第三项加第四项之和）</w:t>
            </w:r>
          </w:p>
        </w:tc>
        <w:tc>
          <w:tcPr>
            <w:tcW w:w="3223" w:type="pct"/>
            <w:gridSpan w:val="7"/>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776" w:type="pct"/>
            <w:gridSpan w:val="3"/>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86" w:type="pct"/>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人</w:t>
            </w:r>
          </w:p>
        </w:tc>
        <w:tc>
          <w:tcPr>
            <w:tcW w:w="2406" w:type="pct"/>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法人或其他组织</w:t>
            </w:r>
          </w:p>
        </w:tc>
        <w:tc>
          <w:tcPr>
            <w:tcW w:w="430" w:type="pct"/>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76" w:type="pct"/>
            <w:gridSpan w:val="3"/>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86"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400"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商业企业</w:t>
            </w:r>
          </w:p>
        </w:tc>
        <w:tc>
          <w:tcPr>
            <w:tcW w:w="407"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科研机构</w:t>
            </w:r>
          </w:p>
        </w:tc>
        <w:tc>
          <w:tcPr>
            <w:tcW w:w="615"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社会公益组织</w:t>
            </w:r>
          </w:p>
        </w:tc>
        <w:tc>
          <w:tcPr>
            <w:tcW w:w="601"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法律服务机构</w:t>
            </w:r>
          </w:p>
        </w:tc>
        <w:tc>
          <w:tcPr>
            <w:tcW w:w="380" w:type="pc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他</w:t>
            </w:r>
          </w:p>
        </w:tc>
        <w:tc>
          <w:tcPr>
            <w:tcW w:w="430"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1776" w:type="pct"/>
            <w:gridSpan w:val="3"/>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一、本年新收政府信息公开申请数量</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hint="eastAsia" w:ascii="Calibri" w:hAnsi="Calibri" w:eastAsia="宋体" w:cs="Calibri"/>
                <w:kern w:val="0"/>
                <w:sz w:val="20"/>
                <w:szCs w:val="20"/>
              </w:rPr>
              <w:t>1</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hint="eastAsia" w:ascii="Calibri" w:hAnsi="Calibri" w:eastAsia="宋体" w:cs="Calibri"/>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776" w:type="pct"/>
            <w:gridSpan w:val="3"/>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二、上年结转政府信息公开申请数量</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362" w:type="pct"/>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p>
        </w:tc>
        <w:tc>
          <w:tcPr>
            <w:tcW w:w="1413" w:type="pct"/>
            <w:gridSpan w:val="2"/>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（一）予以公开</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hint="eastAsia" w:ascii="Calibri" w:hAnsi="Calibri" w:eastAsia="宋体" w:cs="Calibri"/>
                <w:kern w:val="0"/>
                <w:sz w:val="20"/>
                <w:szCs w:val="20"/>
              </w:rPr>
              <w:t>1</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hint="eastAsia" w:ascii="Calibri" w:hAnsi="Calibri" w:eastAsia="宋体" w:cs="Calibri"/>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13" w:type="pct"/>
            <w:gridSpan w:val="2"/>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（二）部分公开（区分处理的，只计这一情形，不计其他情形）</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restar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（三）</w:t>
            </w:r>
            <w:r>
              <w:rPr>
                <w:rFonts w:hint="eastAsia" w:ascii="楷体" w:hAnsi="楷体" w:eastAsia="楷体" w:cs="楷体"/>
                <w:kern w:val="0"/>
                <w:sz w:val="20"/>
                <w:szCs w:val="20"/>
              </w:rPr>
              <w:br w:type="textWrapping"/>
            </w:r>
            <w:r>
              <w:rPr>
                <w:rFonts w:hint="eastAsia" w:ascii="楷体" w:hAnsi="楷体" w:eastAsia="楷体" w:cs="楷体"/>
                <w:kern w:val="0"/>
                <w:sz w:val="20"/>
                <w:szCs w:val="20"/>
              </w:rPr>
              <w:t>不予</w:t>
            </w:r>
            <w:r>
              <w:rPr>
                <w:rFonts w:hint="eastAsia" w:ascii="楷体" w:hAnsi="楷体" w:eastAsia="楷体" w:cs="楷体"/>
                <w:kern w:val="0"/>
                <w:sz w:val="20"/>
                <w:szCs w:val="20"/>
              </w:rPr>
              <w:br w:type="textWrapping"/>
            </w:r>
            <w:r>
              <w:rPr>
                <w:rFonts w:hint="eastAsia" w:ascii="楷体" w:hAnsi="楷体" w:eastAsia="楷体" w:cs="楷体"/>
                <w:kern w:val="0"/>
                <w:sz w:val="20"/>
                <w:szCs w:val="20"/>
              </w:rPr>
              <w:t>公开</w:t>
            </w: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1.属于国家秘密</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2.其他法律行政法规禁止公开</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3.危及“三安全一稳定”</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4.保护第三方合法权益</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5.属于三类内部事务信息</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6.属于四类过程性信息</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7.属于行政执法案卷</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8.属于行政查询事项</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restar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（四）</w:t>
            </w:r>
            <w:r>
              <w:rPr>
                <w:rFonts w:hint="eastAsia" w:ascii="楷体" w:hAnsi="楷体" w:eastAsia="楷体" w:cs="楷体"/>
                <w:kern w:val="0"/>
                <w:sz w:val="20"/>
                <w:szCs w:val="20"/>
              </w:rPr>
              <w:br w:type="textWrapping"/>
            </w:r>
            <w:r>
              <w:rPr>
                <w:rFonts w:hint="eastAsia" w:ascii="楷体" w:hAnsi="楷体" w:eastAsia="楷体" w:cs="楷体"/>
                <w:kern w:val="0"/>
                <w:sz w:val="20"/>
                <w:szCs w:val="20"/>
              </w:rPr>
              <w:t>无法</w:t>
            </w:r>
            <w:r>
              <w:rPr>
                <w:rFonts w:hint="eastAsia" w:ascii="楷体" w:hAnsi="楷体" w:eastAsia="楷体" w:cs="楷体"/>
                <w:kern w:val="0"/>
                <w:sz w:val="20"/>
                <w:szCs w:val="20"/>
              </w:rPr>
              <w:br w:type="textWrapping"/>
            </w:r>
            <w:r>
              <w:rPr>
                <w:rFonts w:hint="eastAsia" w:ascii="楷体" w:hAnsi="楷体" w:eastAsia="楷体" w:cs="楷体"/>
                <w:kern w:val="0"/>
                <w:sz w:val="20"/>
                <w:szCs w:val="20"/>
              </w:rPr>
              <w:t>提供</w:t>
            </w: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1.本机关不掌握相关政府信息</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2.没有现成信息需要另行制作</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3.补正后申请内容仍不明确</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restar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（五）不予</w:t>
            </w:r>
            <w:r>
              <w:rPr>
                <w:rFonts w:hint="eastAsia" w:ascii="楷体" w:hAnsi="楷体" w:eastAsia="楷体" w:cs="楷体"/>
                <w:kern w:val="0"/>
                <w:sz w:val="20"/>
                <w:szCs w:val="20"/>
              </w:rPr>
              <w:br w:type="textWrapping"/>
            </w:r>
            <w:r>
              <w:rPr>
                <w:rFonts w:hint="eastAsia" w:ascii="楷体" w:hAnsi="楷体" w:eastAsia="楷体" w:cs="楷体"/>
                <w:kern w:val="0"/>
                <w:sz w:val="20"/>
                <w:szCs w:val="20"/>
              </w:rPr>
              <w:t>处理</w:t>
            </w: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1.信访举报投诉类申请</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2.重复申请</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3.要求提供公开出版物</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4.无正当理由大量反复申请</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541" w:type="pct"/>
            <w:vMerge w:val="continue"/>
            <w:shd w:val="clear" w:color="auto" w:fill="auto"/>
            <w:tcMar>
              <w:top w:w="15" w:type="dxa"/>
              <w:left w:w="15" w:type="dxa"/>
              <w:right w:w="15" w:type="dxa"/>
            </w:tcMar>
            <w:vAlign w:val="center"/>
          </w:tcPr>
          <w:p>
            <w:pPr>
              <w:jc w:val="left"/>
              <w:rPr>
                <w:rFonts w:ascii="楷体" w:hAnsi="楷体" w:eastAsia="楷体" w:cs="楷体"/>
                <w:sz w:val="20"/>
                <w:szCs w:val="20"/>
              </w:rPr>
            </w:pPr>
          </w:p>
        </w:tc>
        <w:tc>
          <w:tcPr>
            <w:tcW w:w="872" w:type="pct"/>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5.要求行政机关确认或重新出具已获取信息</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13" w:type="pct"/>
            <w:gridSpan w:val="2"/>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（六）其他处理</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362" w:type="pct"/>
            <w:vMerge w:val="continue"/>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1413" w:type="pct"/>
            <w:gridSpan w:val="2"/>
            <w:shd w:val="clear" w:color="auto" w:fill="auto"/>
            <w:tcMar>
              <w:top w:w="15" w:type="dxa"/>
              <w:left w:w="15" w:type="dxa"/>
              <w:right w:w="15" w:type="dxa"/>
            </w:tcMar>
            <w:vAlign w:val="center"/>
          </w:tcPr>
          <w:p>
            <w:pPr>
              <w:widowControl/>
              <w:jc w:val="left"/>
              <w:textAlignment w:val="center"/>
              <w:rPr>
                <w:rFonts w:ascii="楷体" w:hAnsi="楷体" w:eastAsia="楷体" w:cs="楷体"/>
                <w:sz w:val="20"/>
                <w:szCs w:val="20"/>
              </w:rPr>
            </w:pPr>
            <w:r>
              <w:rPr>
                <w:rFonts w:hint="eastAsia" w:ascii="楷体" w:hAnsi="楷体" w:eastAsia="楷体" w:cs="楷体"/>
                <w:kern w:val="0"/>
                <w:sz w:val="20"/>
                <w:szCs w:val="20"/>
              </w:rPr>
              <w:t>（七）总计</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hint="eastAsia" w:ascii="Calibri" w:hAnsi="Calibri" w:eastAsia="宋体" w:cs="Calibri"/>
                <w:kern w:val="0"/>
                <w:sz w:val="20"/>
                <w:szCs w:val="20"/>
              </w:rPr>
              <w:t>1</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hint="eastAsia" w:ascii="Calibri" w:hAnsi="Calibri" w:eastAsia="宋体" w:cs="Calibri"/>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776" w:type="pct"/>
            <w:gridSpan w:val="3"/>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四、结转下年度继续办理</w:t>
            </w:r>
          </w:p>
        </w:tc>
        <w:tc>
          <w:tcPr>
            <w:tcW w:w="386"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07"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15"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601"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38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c>
          <w:tcPr>
            <w:tcW w:w="430" w:type="pct"/>
            <w:shd w:val="clear" w:color="auto" w:fill="auto"/>
            <w:tcMar>
              <w:top w:w="15" w:type="dxa"/>
              <w:left w:w="15" w:type="dxa"/>
              <w:right w:w="15" w:type="dxa"/>
            </w:tcMar>
            <w:vAlign w:val="center"/>
          </w:tcPr>
          <w:p>
            <w:pPr>
              <w:widowControl/>
              <w:jc w:val="center"/>
              <w:textAlignment w:val="center"/>
              <w:rPr>
                <w:rFonts w:ascii="Calibri" w:hAnsi="Calibri" w:eastAsia="宋体" w:cs="Calibri"/>
                <w:sz w:val="20"/>
                <w:szCs w:val="20"/>
              </w:rPr>
            </w:pPr>
            <w:r>
              <w:rPr>
                <w:rFonts w:ascii="Calibri" w:hAnsi="Calibri" w:eastAsia="宋体" w:cs="Calibri"/>
                <w:kern w:val="0"/>
                <w:sz w:val="20"/>
                <w:szCs w:val="20"/>
              </w:rPr>
              <w:t>0</w:t>
            </w:r>
          </w:p>
        </w:tc>
      </w:tr>
    </w:tbl>
    <w:p>
      <w:pPr>
        <w:spacing w:line="600" w:lineRule="exact"/>
        <w:ind w:left="64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4999" w:type="pct"/>
        <w:tblInd w:w="0" w:type="dxa"/>
        <w:tblLayout w:type="autofit"/>
        <w:tblCellMar>
          <w:top w:w="0" w:type="dxa"/>
          <w:left w:w="0" w:type="dxa"/>
          <w:bottom w:w="0" w:type="dxa"/>
          <w:right w:w="0" w:type="dxa"/>
        </w:tblCellMar>
      </w:tblPr>
      <w:tblGrid>
        <w:gridCol w:w="553"/>
        <w:gridCol w:w="553"/>
        <w:gridCol w:w="553"/>
        <w:gridCol w:w="553"/>
        <w:gridCol w:w="563"/>
        <w:gridCol w:w="553"/>
        <w:gridCol w:w="553"/>
        <w:gridCol w:w="554"/>
        <w:gridCol w:w="554"/>
        <w:gridCol w:w="564"/>
        <w:gridCol w:w="554"/>
        <w:gridCol w:w="554"/>
        <w:gridCol w:w="554"/>
        <w:gridCol w:w="554"/>
        <w:gridCol w:w="565"/>
      </w:tblGrid>
      <w:tr>
        <w:tblPrEx>
          <w:tblCellMar>
            <w:top w:w="0" w:type="dxa"/>
            <w:left w:w="0" w:type="dxa"/>
            <w:bottom w:w="0" w:type="dxa"/>
            <w:right w:w="0" w:type="dxa"/>
          </w:tblCellMar>
        </w:tblPrEx>
        <w:trPr>
          <w:trHeight w:val="720" w:hRule="atLeast"/>
        </w:trPr>
        <w:tc>
          <w:tcPr>
            <w:tcW w:w="1666" w:type="pct"/>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行政复议</w:t>
            </w:r>
          </w:p>
        </w:tc>
        <w:tc>
          <w:tcPr>
            <w:tcW w:w="3333" w:type="pct"/>
            <w:gridSpan w:val="10"/>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799" w:hRule="atLeast"/>
        </w:trPr>
        <w:tc>
          <w:tcPr>
            <w:tcW w:w="33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持</w:t>
            </w:r>
          </w:p>
        </w:tc>
        <w:tc>
          <w:tcPr>
            <w:tcW w:w="33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正</w:t>
            </w:r>
          </w:p>
        </w:tc>
        <w:tc>
          <w:tcPr>
            <w:tcW w:w="33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p>
        </w:tc>
        <w:tc>
          <w:tcPr>
            <w:tcW w:w="33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p>
        </w:tc>
        <w:tc>
          <w:tcPr>
            <w:tcW w:w="334"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w:t>
            </w:r>
          </w:p>
        </w:tc>
        <w:tc>
          <w:tcPr>
            <w:tcW w:w="1666" w:type="pct"/>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未经复议直接起诉</w:t>
            </w:r>
          </w:p>
        </w:tc>
        <w:tc>
          <w:tcPr>
            <w:tcW w:w="1667" w:type="pct"/>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trHeight w:val="1320" w:hRule="atLeast"/>
        </w:trPr>
        <w:tc>
          <w:tcPr>
            <w:tcW w:w="332"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32"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34"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持</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正</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p>
        </w:tc>
        <w:tc>
          <w:tcPr>
            <w:tcW w:w="33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持</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正</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w:t>
            </w:r>
          </w:p>
        </w:tc>
      </w:tr>
      <w:tr>
        <w:tblPrEx>
          <w:tblCellMar>
            <w:top w:w="0" w:type="dxa"/>
            <w:left w:w="0" w:type="dxa"/>
            <w:bottom w:w="0" w:type="dxa"/>
            <w:right w:w="0" w:type="dxa"/>
          </w:tblCellMar>
        </w:tblPrEx>
        <w:trPr>
          <w:trHeight w:val="679" w:hRule="atLeast"/>
        </w:trPr>
        <w:tc>
          <w:tcPr>
            <w:tcW w:w="332"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4"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33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五、存在问题及下一步工作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因政务服务事项</w:t>
      </w:r>
      <w:r>
        <w:rPr>
          <w:rFonts w:ascii="仿宋_GB2312" w:hAnsi="仿宋_GB2312" w:eastAsia="仿宋_GB2312" w:cs="仿宋_GB2312"/>
          <w:sz w:val="32"/>
          <w:szCs w:val="32"/>
        </w:rPr>
        <w:t>受理材料均为法律法规要求，压缩减少要件后续</w:t>
      </w:r>
      <w:r>
        <w:rPr>
          <w:rFonts w:hint="eastAsia" w:ascii="仿宋_GB2312" w:hAnsi="仿宋_GB2312" w:eastAsia="仿宋_GB2312" w:cs="仿宋_GB2312"/>
          <w:sz w:val="32"/>
          <w:szCs w:val="32"/>
        </w:rPr>
        <w:t>可能会</w:t>
      </w:r>
      <w:r>
        <w:rPr>
          <w:rFonts w:ascii="仿宋_GB2312" w:hAnsi="仿宋_GB2312" w:eastAsia="仿宋_GB2312" w:cs="仿宋_GB2312"/>
          <w:sz w:val="32"/>
          <w:szCs w:val="32"/>
        </w:rPr>
        <w:t>出现卫生安全问题，存在的安全隐患难以保证。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ascii="仿宋_GB2312" w:hAnsi="仿宋_GB2312" w:eastAsia="仿宋_GB2312" w:cs="仿宋_GB2312"/>
          <w:sz w:val="32"/>
          <w:szCs w:val="32"/>
        </w:rPr>
        <w:t>因</w:t>
      </w:r>
      <w:r>
        <w:rPr>
          <w:rFonts w:hint="eastAsia" w:ascii="仿宋_GB2312" w:hAnsi="仿宋_GB2312" w:eastAsia="仿宋_GB2312" w:cs="仿宋_GB2312"/>
          <w:sz w:val="32"/>
          <w:szCs w:val="32"/>
        </w:rPr>
        <w:t>全市</w:t>
      </w:r>
      <w:r>
        <w:rPr>
          <w:rFonts w:ascii="仿宋_GB2312" w:hAnsi="仿宋_GB2312" w:eastAsia="仿宋_GB2312" w:cs="仿宋_GB2312"/>
          <w:sz w:val="32"/>
          <w:szCs w:val="32"/>
        </w:rPr>
        <w:t>各区县都在各自优化</w:t>
      </w:r>
      <w:r>
        <w:rPr>
          <w:rFonts w:hint="eastAsia" w:ascii="仿宋_GB2312" w:hAnsi="仿宋_GB2312" w:eastAsia="仿宋_GB2312" w:cs="仿宋_GB2312"/>
          <w:sz w:val="32"/>
          <w:szCs w:val="32"/>
        </w:rPr>
        <w:t>政务服务事项</w:t>
      </w:r>
      <w:r>
        <w:rPr>
          <w:rFonts w:ascii="仿宋_GB2312" w:hAnsi="仿宋_GB2312" w:eastAsia="仿宋_GB2312" w:cs="仿宋_GB2312"/>
          <w:sz w:val="32"/>
          <w:szCs w:val="32"/>
        </w:rPr>
        <w:t>，优化结果也不尽相同，同一</w:t>
      </w:r>
      <w:r>
        <w:rPr>
          <w:rFonts w:hint="eastAsia" w:ascii="仿宋_GB2312" w:hAnsi="仿宋_GB2312" w:eastAsia="仿宋_GB2312" w:cs="仿宋_GB2312"/>
          <w:sz w:val="32"/>
          <w:szCs w:val="32"/>
        </w:rPr>
        <w:t>政务服务</w:t>
      </w:r>
      <w:r>
        <w:rPr>
          <w:rFonts w:ascii="仿宋_GB2312" w:hAnsi="仿宋_GB2312" w:eastAsia="仿宋_GB2312" w:cs="仿宋_GB2312"/>
          <w:sz w:val="32"/>
          <w:szCs w:val="32"/>
        </w:rPr>
        <w:t>事项各区县流程再造后审批要件、审批时限、审批流程</w:t>
      </w:r>
      <w:r>
        <w:rPr>
          <w:rFonts w:hint="eastAsia" w:ascii="仿宋_GB2312" w:hAnsi="仿宋_GB2312" w:eastAsia="仿宋_GB2312" w:cs="仿宋_GB2312"/>
          <w:sz w:val="32"/>
          <w:szCs w:val="32"/>
        </w:rPr>
        <w:t>不尽相同</w:t>
      </w:r>
      <w:r>
        <w:rPr>
          <w:rFonts w:ascii="仿宋_GB2312" w:hAnsi="仿宋_GB2312" w:eastAsia="仿宋_GB2312" w:cs="仿宋_GB2312"/>
          <w:sz w:val="32"/>
          <w:szCs w:val="32"/>
        </w:rPr>
        <w:t>，容易给</w:t>
      </w:r>
      <w:r>
        <w:rPr>
          <w:rFonts w:hint="eastAsia" w:ascii="仿宋_GB2312" w:hAnsi="仿宋_GB2312" w:eastAsia="仿宋_GB2312" w:cs="仿宋_GB2312"/>
          <w:sz w:val="32"/>
          <w:szCs w:val="32"/>
        </w:rPr>
        <w:t>申请人</w:t>
      </w:r>
      <w:r>
        <w:rPr>
          <w:rFonts w:ascii="仿宋_GB2312" w:hAnsi="仿宋_GB2312" w:eastAsia="仿宋_GB2312" w:cs="仿宋_GB2312"/>
          <w:sz w:val="32"/>
          <w:szCs w:val="32"/>
        </w:rPr>
        <w:t>造成困扰</w:t>
      </w:r>
      <w:r>
        <w:rPr>
          <w:rFonts w:hint="eastAsia" w:ascii="仿宋_GB2312" w:hAnsi="仿宋_GB2312" w:eastAsia="仿宋_GB2312" w:cs="仿宋_GB2312"/>
          <w:sz w:val="32"/>
          <w:szCs w:val="32"/>
        </w:rPr>
        <w:t>，需要</w:t>
      </w:r>
      <w:r>
        <w:rPr>
          <w:rFonts w:ascii="仿宋_GB2312" w:hAnsi="仿宋_GB2312" w:eastAsia="仿宋_GB2312" w:cs="仿宋_GB2312"/>
          <w:sz w:val="32"/>
          <w:szCs w:val="32"/>
        </w:rPr>
        <w:t>上级部门</w:t>
      </w:r>
      <w:r>
        <w:rPr>
          <w:rFonts w:hint="eastAsia" w:ascii="仿宋_GB2312" w:hAnsi="仿宋_GB2312" w:eastAsia="仿宋_GB2312" w:cs="仿宋_GB2312"/>
          <w:sz w:val="32"/>
          <w:szCs w:val="32"/>
        </w:rPr>
        <w:t>形成</w:t>
      </w:r>
      <w:r>
        <w:rPr>
          <w:rFonts w:ascii="仿宋_GB2312" w:hAnsi="仿宋_GB2312" w:eastAsia="仿宋_GB2312" w:cs="仿宋_GB2312"/>
          <w:sz w:val="32"/>
          <w:szCs w:val="32"/>
        </w:rPr>
        <w:t>统一</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再造流程模板，</w:t>
      </w:r>
      <w:r>
        <w:rPr>
          <w:rFonts w:hint="eastAsia" w:ascii="仿宋_GB2312" w:hAnsi="仿宋_GB2312" w:eastAsia="仿宋_GB2312" w:cs="仿宋_GB2312"/>
          <w:sz w:val="32"/>
          <w:szCs w:val="32"/>
        </w:rPr>
        <w:t>从而使</w:t>
      </w:r>
      <w:r>
        <w:rPr>
          <w:rFonts w:ascii="仿宋_GB2312" w:hAnsi="仿宋_GB2312" w:eastAsia="仿宋_GB2312" w:cs="仿宋_GB2312"/>
          <w:sz w:val="32"/>
          <w:szCs w:val="32"/>
        </w:rPr>
        <w:t>同一</w:t>
      </w:r>
      <w:r>
        <w:rPr>
          <w:rFonts w:hint="eastAsia" w:ascii="仿宋_GB2312" w:hAnsi="仿宋_GB2312" w:eastAsia="仿宋_GB2312" w:cs="仿宋_GB2312"/>
          <w:sz w:val="32"/>
          <w:szCs w:val="32"/>
        </w:rPr>
        <w:t>政务服务事项能够实现</w:t>
      </w:r>
      <w:r>
        <w:rPr>
          <w:rFonts w:ascii="仿宋_GB2312" w:hAnsi="仿宋_GB2312" w:eastAsia="仿宋_GB2312" w:cs="仿宋_GB2312"/>
          <w:sz w:val="32"/>
          <w:szCs w:val="32"/>
        </w:rPr>
        <w:t>全市各区县一致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我局将进一步深化“放管服”改革，推动信息公开工作稳步前进，优化营商环境，以持之以恒的态度深入推进“四零”承诺服务和“四少”便民服务，大力促进我局政务服务事项再优化、服务速度再提升、服务效能再增加，切实打通信息壁垒，将服务全程公开晾晒，缩短流程路径，拓宽效率空间，打造优质营商环境，锤炼过硬工作作风，杜绝预约难、不方便等问题的发生，为推动道里区高质量发展做出应有的贡献。</w:t>
      </w:r>
    </w:p>
    <w:p>
      <w:pPr>
        <w:spacing w:line="600" w:lineRule="exact"/>
        <w:ind w:firstLine="640" w:firstLineChars="200"/>
        <w:rPr>
          <w:rFonts w:ascii="黑体" w:hAnsi="宋体" w:eastAsia="黑体" w:cs="黑体"/>
          <w:sz w:val="32"/>
          <w:szCs w:val="32"/>
        </w:rPr>
      </w:pPr>
      <w:r>
        <w:rPr>
          <w:rFonts w:hint="eastAsia" w:ascii="黑体" w:hAnsi="宋体" w:eastAsia="黑体" w:cs="黑体"/>
          <w:sz w:val="32"/>
          <w:szCs w:val="32"/>
        </w:rPr>
        <w:t>六、其他需要报告的事项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105"/>
    <w:rsid w:val="000D63EF"/>
    <w:rsid w:val="00165A04"/>
    <w:rsid w:val="00242F88"/>
    <w:rsid w:val="004A0F0A"/>
    <w:rsid w:val="004E3BB7"/>
    <w:rsid w:val="00B915AA"/>
    <w:rsid w:val="00CC55CF"/>
    <w:rsid w:val="00FB3105"/>
    <w:rsid w:val="00FD3428"/>
    <w:rsid w:val="0C0A1B17"/>
    <w:rsid w:val="11AF41AB"/>
    <w:rsid w:val="15644756"/>
    <w:rsid w:val="175C308D"/>
    <w:rsid w:val="17DA42AD"/>
    <w:rsid w:val="1A1E2411"/>
    <w:rsid w:val="1B2C5658"/>
    <w:rsid w:val="1B507338"/>
    <w:rsid w:val="21750145"/>
    <w:rsid w:val="2290070E"/>
    <w:rsid w:val="26D23436"/>
    <w:rsid w:val="2BF970CB"/>
    <w:rsid w:val="31FE3242"/>
    <w:rsid w:val="39F07241"/>
    <w:rsid w:val="3C7D2AAA"/>
    <w:rsid w:val="41F93D69"/>
    <w:rsid w:val="43D364DC"/>
    <w:rsid w:val="511B701E"/>
    <w:rsid w:val="547F6C97"/>
    <w:rsid w:val="573B7C6E"/>
    <w:rsid w:val="5956568E"/>
    <w:rsid w:val="625F64F9"/>
    <w:rsid w:val="799EC9ED"/>
    <w:rsid w:val="7A15679B"/>
    <w:rsid w:val="7B5D6820"/>
    <w:rsid w:val="7E0775AC"/>
    <w:rsid w:val="7ED156EB"/>
    <w:rsid w:val="DD3BB0EC"/>
    <w:rsid w:val="FFE74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ompany>
  <Pages>7</Pages>
  <Words>2846</Words>
  <Characters>611</Characters>
  <Lines>5</Lines>
  <Paragraphs>6</Paragraphs>
  <TotalTime>16</TotalTime>
  <ScaleCrop>false</ScaleCrop>
  <LinksUpToDate>false</LinksUpToDate>
  <CharactersWithSpaces>3451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2020-09-21T23:14:00Z</dcterms:created>
  <dc:creator>lenovo-pc</dc:creator>
  <cp:lastModifiedBy>刘斌</cp:lastModifiedBy>
  <cp:lastPrinted>2020-09-23T02:17:00Z</cp:lastPrinted>
  <dcterms:modified xsi:type="dcterms:W3CDTF">2021-01-29T11:12:26Z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