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contextualSpacing/>
        <w:jc w:val="center"/>
        <w:rPr>
          <w:rFonts w:ascii="方正小标宋简体" w:eastAsia="方正小标宋简体" w:cs="方正小标宋简体" w:hAnsiTheme="minorEastAsia"/>
          <w:bCs/>
          <w:sz w:val="44"/>
          <w:szCs w:val="44"/>
        </w:rPr>
      </w:pPr>
      <w:bookmarkStart w:id="0" w:name="_GoBack"/>
      <w:bookmarkEnd w:id="0"/>
      <w:r>
        <w:rPr>
          <w:rFonts w:hint="eastAsia" w:ascii="方正小标宋简体" w:eastAsia="方正小标宋简体" w:cs="方正小标宋简体" w:hAnsiTheme="minorEastAsia"/>
          <w:bCs/>
          <w:sz w:val="44"/>
          <w:szCs w:val="44"/>
        </w:rPr>
        <w:t>道里新发黑龙江省乾成建筑装饰工程有限公司</w:t>
      </w:r>
    </w:p>
    <w:p>
      <w:pPr>
        <w:pStyle w:val="10"/>
        <w:widowControl/>
        <w:spacing w:beforeAutospacing="0" w:afterAutospacing="0" w:line="560" w:lineRule="exact"/>
        <w:contextualSpacing/>
        <w:jc w:val="center"/>
        <w:rPr>
          <w:rFonts w:ascii="仿宋_GB2312" w:hAnsi="仿宋" w:eastAsia="仿宋_GB2312" w:cs="仿宋_GB2312"/>
          <w:kern w:val="2"/>
          <w:sz w:val="32"/>
          <w:szCs w:val="32"/>
        </w:rPr>
      </w:pPr>
      <w:r>
        <w:rPr>
          <w:rFonts w:hint="eastAsia" w:ascii="方正小标宋简体" w:eastAsia="方正小标宋简体" w:cs="方正小标宋简体" w:hAnsiTheme="minorEastAsia"/>
          <w:bCs/>
          <w:sz w:val="44"/>
          <w:szCs w:val="44"/>
        </w:rPr>
        <w:t>“9·</w:t>
      </w:r>
      <w:r>
        <w:rPr>
          <w:rFonts w:ascii="方正小标宋简体" w:eastAsia="方正小标宋简体" w:cs="方正小标宋简体" w:hAnsiTheme="minorEastAsia"/>
          <w:bCs/>
          <w:sz w:val="44"/>
          <w:szCs w:val="44"/>
        </w:rPr>
        <w:t>1</w:t>
      </w:r>
      <w:r>
        <w:rPr>
          <w:rFonts w:hint="eastAsia" w:ascii="方正小标宋简体" w:eastAsia="方正小标宋简体" w:cs="方正小标宋简体" w:hAnsiTheme="minorEastAsia"/>
          <w:bCs/>
          <w:sz w:val="44"/>
          <w:szCs w:val="44"/>
        </w:rPr>
        <w:t>1”一般高处坠落事故调查报告</w:t>
      </w:r>
    </w:p>
    <w:p>
      <w:pPr>
        <w:pStyle w:val="10"/>
        <w:widowControl/>
        <w:spacing w:beforeAutospacing="0" w:afterAutospacing="0" w:line="560" w:lineRule="exact"/>
        <w:ind w:firstLine="640" w:firstLineChars="200"/>
        <w:contextualSpacing/>
        <w:rPr>
          <w:rFonts w:ascii="仿宋_GB2312" w:hAnsi="仿宋" w:eastAsia="仿宋_GB2312" w:cs="仿宋_GB2312"/>
          <w:kern w:val="2"/>
          <w:sz w:val="32"/>
          <w:szCs w:val="32"/>
        </w:rPr>
      </w:pP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仿宋_GB2312"/>
          <w:kern w:val="2"/>
          <w:sz w:val="32"/>
          <w:szCs w:val="32"/>
          <w:highlight w:val="yellow"/>
        </w:rPr>
      </w:pPr>
      <w:r>
        <w:rPr>
          <w:rFonts w:hint="eastAsia" w:ascii="仿宋_GB2312" w:hAnsi="仿宋" w:eastAsia="仿宋_GB2312" w:cs="仿宋_GB2312"/>
          <w:kern w:val="2"/>
          <w:sz w:val="32"/>
          <w:szCs w:val="32"/>
        </w:rPr>
        <w:t>2023年9月</w:t>
      </w:r>
      <w:r>
        <w:rPr>
          <w:rFonts w:ascii="仿宋_GB2312" w:hAnsi="仿宋" w:eastAsia="仿宋_GB2312" w:cs="仿宋_GB2312"/>
          <w:kern w:val="2"/>
          <w:sz w:val="32"/>
          <w:szCs w:val="32"/>
        </w:rPr>
        <w:t>1</w:t>
      </w:r>
      <w:r>
        <w:rPr>
          <w:rFonts w:hint="eastAsia" w:ascii="仿宋_GB2312" w:hAnsi="仿宋" w:eastAsia="仿宋_GB2312" w:cs="仿宋_GB2312"/>
          <w:kern w:val="2"/>
          <w:sz w:val="32"/>
          <w:szCs w:val="32"/>
        </w:rPr>
        <w:t>1日9时40分左右，哈尔滨市道里区新发镇机场路366号院内发生一起一般高处坠落事故，造成1名作业人员重伤，经抢救无效于1</w:t>
      </w:r>
      <w:r>
        <w:rPr>
          <w:rFonts w:ascii="仿宋_GB2312" w:hAnsi="仿宋" w:eastAsia="仿宋_GB2312" w:cs="仿宋_GB2312"/>
          <w:kern w:val="2"/>
          <w:sz w:val="32"/>
          <w:szCs w:val="32"/>
        </w:rPr>
        <w:t>0</w:t>
      </w:r>
      <w:r>
        <w:rPr>
          <w:rFonts w:hint="eastAsia" w:ascii="仿宋_GB2312" w:hAnsi="仿宋" w:eastAsia="仿宋_GB2312" w:cs="仿宋_GB2312"/>
          <w:kern w:val="2"/>
          <w:sz w:val="32"/>
          <w:szCs w:val="32"/>
        </w:rPr>
        <w:t>月1</w:t>
      </w:r>
      <w:r>
        <w:rPr>
          <w:rFonts w:ascii="仿宋_GB2312" w:hAnsi="仿宋" w:eastAsia="仿宋_GB2312" w:cs="仿宋_GB2312"/>
          <w:kern w:val="2"/>
          <w:sz w:val="32"/>
          <w:szCs w:val="32"/>
        </w:rPr>
        <w:t>0</w:t>
      </w:r>
      <w:r>
        <w:rPr>
          <w:rFonts w:hint="eastAsia" w:ascii="仿宋_GB2312" w:hAnsi="仿宋" w:eastAsia="仿宋_GB2312" w:cs="仿宋_GB2312"/>
          <w:kern w:val="2"/>
          <w:sz w:val="32"/>
          <w:szCs w:val="32"/>
        </w:rPr>
        <w:t>日1</w:t>
      </w:r>
      <w:r>
        <w:rPr>
          <w:rFonts w:ascii="仿宋_GB2312" w:hAnsi="仿宋" w:eastAsia="仿宋_GB2312" w:cs="仿宋_GB2312"/>
          <w:kern w:val="2"/>
          <w:sz w:val="32"/>
          <w:szCs w:val="32"/>
        </w:rPr>
        <w:t>7</w:t>
      </w:r>
      <w:r>
        <w:rPr>
          <w:rFonts w:hint="eastAsia" w:ascii="仿宋_GB2312" w:hAnsi="仿宋" w:eastAsia="仿宋_GB2312" w:cs="仿宋_GB2312"/>
          <w:kern w:val="2"/>
          <w:sz w:val="32"/>
          <w:szCs w:val="32"/>
        </w:rPr>
        <w:t>时许死亡。</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仿宋_GB2312"/>
          <w:color w:val="333333"/>
          <w:sz w:val="32"/>
          <w:szCs w:val="32"/>
          <w:highlight w:val="lightGray"/>
        </w:rPr>
      </w:pPr>
      <w:r>
        <w:rPr>
          <w:rFonts w:hint="eastAsia" w:ascii="仿宋_GB2312" w:hAnsi="仿宋" w:eastAsia="仿宋_GB2312" w:cs="仿宋_GB2312"/>
          <w:color w:val="333333"/>
          <w:sz w:val="32"/>
          <w:szCs w:val="32"/>
        </w:rPr>
        <w:t>接到报告后，道里区应急局立即组织相关人员赶赴事故现场了解情况。经现场核实后，根据《生产安全事故报告和调查处理条例》（国务院令第493号）相关规定，受道里区人民政府委托，成立了由区应急管理局</w:t>
      </w:r>
      <w:r>
        <w:rPr>
          <w:rFonts w:hint="eastAsia" w:ascii="仿宋_GB2312" w:hAnsi="仿宋" w:eastAsia="仿宋_GB2312" w:cs="仿宋_GB2312"/>
          <w:sz w:val="32"/>
          <w:szCs w:val="32"/>
        </w:rPr>
        <w:t>、市公安局道里分局、区总工会、新发镇政府等相关单位</w:t>
      </w:r>
      <w:r>
        <w:rPr>
          <w:rFonts w:hint="eastAsia" w:ascii="仿宋_GB2312" w:hAnsi="仿宋" w:eastAsia="仿宋_GB2312" w:cs="仿宋_GB2312"/>
          <w:color w:val="333333"/>
          <w:sz w:val="32"/>
          <w:szCs w:val="32"/>
        </w:rPr>
        <w:t>组成的事故调查组，并邀请了人民检察院派人参加</w:t>
      </w:r>
      <w:r>
        <w:rPr>
          <w:rStyle w:val="19"/>
          <w:rFonts w:hint="eastAsia" w:ascii="仿宋_GB2312" w:hAnsi="仿宋" w:eastAsia="仿宋_GB2312" w:cs="仿宋_GB2312"/>
          <w:color w:val="333333"/>
          <w:sz w:val="32"/>
          <w:szCs w:val="32"/>
        </w:rPr>
        <w:t>[</w:t>
      </w:r>
      <w:r>
        <w:rPr>
          <w:rStyle w:val="19"/>
          <w:rFonts w:hint="eastAsia" w:ascii="仿宋_GB2312" w:hAnsi="仿宋" w:eastAsia="仿宋_GB2312" w:cs="仿宋_GB2312"/>
          <w:color w:val="333333"/>
          <w:sz w:val="32"/>
          <w:szCs w:val="32"/>
        </w:rPr>
        <w:footnoteReference w:id="0"/>
      </w:r>
      <w:r>
        <w:rPr>
          <w:rStyle w:val="19"/>
          <w:rFonts w:hint="eastAsia" w:ascii="仿宋_GB2312" w:hAnsi="仿宋" w:eastAsia="仿宋_GB2312" w:cs="仿宋_GB2312"/>
          <w:color w:val="333333"/>
          <w:sz w:val="32"/>
          <w:szCs w:val="32"/>
        </w:rPr>
        <w:t>]</w:t>
      </w:r>
      <w:r>
        <w:rPr>
          <w:rFonts w:hint="eastAsia" w:ascii="仿宋_GB2312" w:hAnsi="仿宋" w:eastAsia="仿宋_GB2312" w:cs="仿宋_GB2312"/>
          <w:color w:val="333333"/>
          <w:sz w:val="32"/>
          <w:szCs w:val="32"/>
        </w:rPr>
        <w:t>。事故调查组按照“四不放过”和“科学严谨、依法依规、实事求是、注重实效”的原则，经过现场勘验、查阅资料、调查取证、技术鉴定等，查明了事故发生经过、原因，提出了对有关责任人员和责任单位的处理建议，并针对事故暴露出的问题提出了防范和整改措施。</w:t>
      </w:r>
      <w:r>
        <w:rPr>
          <w:rFonts w:hint="eastAsia" w:ascii="仿宋_GB2312" w:hAnsi="仿宋" w:eastAsia="仿宋_GB2312" w:cs="仿宋_GB2312"/>
          <w:sz w:val="32"/>
          <w:szCs w:val="32"/>
        </w:rPr>
        <w:t>经调查认定，“9.11”高处坠落事故是一起生产安全责任事故。</w:t>
      </w:r>
      <w:r>
        <w:rPr>
          <w:rFonts w:hint="eastAsia" w:ascii="仿宋_GB2312" w:hAnsi="仿宋" w:eastAsia="仿宋_GB2312" w:cs="仿宋_GB2312"/>
          <w:color w:val="333333"/>
          <w:sz w:val="32"/>
          <w:szCs w:val="32"/>
        </w:rPr>
        <w:t>现将有关情况报告如下：</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黑体" w:hAnsi="黑体" w:eastAsia="黑体" w:cs="微软雅黑"/>
          <w:sz w:val="32"/>
          <w:szCs w:val="32"/>
        </w:rPr>
      </w:pPr>
      <w:r>
        <w:rPr>
          <w:rFonts w:hint="eastAsia" w:ascii="黑体" w:hAnsi="黑体" w:eastAsia="黑体" w:cs="微软雅黑"/>
          <w:color w:val="333333"/>
          <w:sz w:val="32"/>
          <w:szCs w:val="32"/>
        </w:rPr>
        <w:t>一、事故基本情况</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0"/>
        <w:contextualSpacing/>
        <w:jc w:val="both"/>
        <w:rPr>
          <w:rFonts w:ascii="楷体" w:hAnsi="楷体" w:eastAsia="楷体" w:cs="微软雅黑"/>
          <w:color w:val="333333"/>
          <w:sz w:val="32"/>
          <w:szCs w:val="32"/>
        </w:rPr>
      </w:pPr>
      <w:r>
        <w:rPr>
          <w:rFonts w:hint="eastAsia" w:ascii="楷体" w:hAnsi="楷体" w:eastAsia="楷体" w:cs="微软雅黑"/>
          <w:color w:val="333333"/>
          <w:sz w:val="32"/>
          <w:szCs w:val="32"/>
        </w:rPr>
        <w:t>（一）事故发生工程概况</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0"/>
        <w:contextualSpacing/>
        <w:jc w:val="both"/>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工程名称：黑龙江省瑞全医药有限责任公司货梯购买及安装施工项目</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0"/>
        <w:contextualSpacing/>
        <w:jc w:val="both"/>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工程地点：哈尔滨市道里区机场路366号</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0"/>
        <w:contextualSpacing/>
        <w:jc w:val="both"/>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工程内容：道里区机场路366号1栋1-2层购买及货梯安装</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0"/>
        <w:contextualSpacing/>
        <w:jc w:val="both"/>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工程起始时间：2023年9月1日</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0"/>
        <w:contextualSpacing/>
        <w:jc w:val="both"/>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工程总造价：1</w:t>
      </w:r>
      <w:r>
        <w:rPr>
          <w:rFonts w:ascii="仿宋_GB2312" w:hAnsi="楷体" w:eastAsia="仿宋_GB2312" w:cs="微软雅黑"/>
          <w:color w:val="333333"/>
          <w:sz w:val="32"/>
          <w:szCs w:val="32"/>
        </w:rPr>
        <w:t>0500</w:t>
      </w:r>
      <w:r>
        <w:rPr>
          <w:rFonts w:hint="eastAsia" w:ascii="仿宋_GB2312" w:hAnsi="楷体" w:eastAsia="仿宋_GB2312" w:cs="微软雅黑"/>
          <w:color w:val="333333"/>
          <w:sz w:val="32"/>
          <w:szCs w:val="32"/>
        </w:rPr>
        <w:t>元人民币</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0"/>
        <w:contextualSpacing/>
        <w:jc w:val="both"/>
        <w:rPr>
          <w:rFonts w:ascii="楷体" w:hAnsi="楷体" w:eastAsia="楷体" w:cs="微软雅黑"/>
          <w:color w:val="333333"/>
          <w:sz w:val="32"/>
          <w:szCs w:val="32"/>
        </w:rPr>
      </w:pPr>
      <w:r>
        <w:rPr>
          <w:rFonts w:hint="eastAsia" w:ascii="楷体" w:hAnsi="楷体" w:eastAsia="楷体" w:cs="微软雅黑"/>
          <w:color w:val="333333"/>
          <w:sz w:val="32"/>
          <w:szCs w:val="32"/>
        </w:rPr>
        <w:t>（二）事故发生单位及相关单位概况</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1.</w:t>
      </w:r>
      <w:r>
        <w:rPr>
          <w:rFonts w:hint="eastAsia" w:ascii="仿宋_GB2312" w:hAnsi="仿宋" w:eastAsia="仿宋_GB2312" w:cs="微软雅黑"/>
          <w:sz w:val="32"/>
          <w:szCs w:val="32"/>
        </w:rPr>
        <w:t>事故发生单位</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名称：黑龙江省乾成建筑装饰工程有限公司</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类型：有限责任公司</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法定代表人：杜志龙</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成立日期：2</w:t>
      </w:r>
      <w:r>
        <w:rPr>
          <w:rFonts w:ascii="仿宋_GB2312" w:hAnsi="仿宋" w:eastAsia="仿宋_GB2312" w:cs="微软雅黑"/>
          <w:color w:val="333333"/>
          <w:sz w:val="32"/>
          <w:szCs w:val="32"/>
        </w:rPr>
        <w:t>0</w:t>
      </w:r>
      <w:r>
        <w:rPr>
          <w:rFonts w:hint="eastAsia" w:ascii="仿宋_GB2312" w:hAnsi="仿宋" w:eastAsia="仿宋_GB2312" w:cs="微软雅黑"/>
          <w:color w:val="333333"/>
          <w:sz w:val="32"/>
          <w:szCs w:val="32"/>
        </w:rPr>
        <w:t>11年08月31日</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营业期限：长期</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住所：黑龙江省哈尔滨市松北区龙唐街399号众和城小区21号楼2单元1楼4号</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经营范围：按资质从事:土建工程、室内外装修工程、钢结构工程、玻璃幕墙工程、亮化工程、绿化施工、电脑图文设计;门窗销售;金属制品销售。</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统一社会信用代码：91230109578075412M</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2.工程发包单位</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名称：黑龙江省盛欣源医药有限责任公司（曾用名：黑龙江省瑞全医药有限责任公司）</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类型：有限责任公司</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法定代表人：刘淑珍</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成立日期：1996年3月2</w:t>
      </w:r>
      <w:r>
        <w:rPr>
          <w:rFonts w:ascii="仿宋_GB2312" w:hAnsi="仿宋" w:eastAsia="仿宋_GB2312" w:cs="微软雅黑"/>
          <w:color w:val="333333"/>
          <w:sz w:val="32"/>
          <w:szCs w:val="32"/>
        </w:rPr>
        <w:t>7</w:t>
      </w:r>
      <w:r>
        <w:rPr>
          <w:rFonts w:hint="eastAsia" w:ascii="仿宋_GB2312" w:hAnsi="仿宋" w:eastAsia="仿宋_GB2312" w:cs="微软雅黑"/>
          <w:color w:val="333333"/>
          <w:sz w:val="32"/>
          <w:szCs w:val="32"/>
        </w:rPr>
        <w:t>日</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营业期限：1996-03-27 至 2060-03-26</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住所：黑龙江省哈尔滨市道里区汇智金融企业总部二期C栋1单元13层1301号</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经营范围：许可项目：药品批发；食品销售。一般项目：第一类医疗器械销售；第二类医疗器械销售；保健食品（预包装）销售；食品销售（仅销售预包装食品）；办公用品销售；医用口罩批发；日用口罩（非医用）销售；仪器仪表销售；卫生用品和一次性使用医疗用品销售；化工产品销售（不含许可类化工产品）；消毒剂销售（不含危险化学品）；个人卫生用品销售；体育用品及器材批发；家居用品销售；信息技术咨询服务；日用品销售；日用品批发；食品互联网销售（仅销售预包装食品）；医护人员防护用品批发；劳动保护用品销售；互联网销售（除销售需要许可的商品）；医学研究和试验发展；住房租赁；非居住房地产租赁；技术服务、技术开发、技术咨询、技术交流、技术转让、技术推广。</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统一社会信用代码：91230102672148112N</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楷体" w:hAnsi="楷体" w:eastAsia="楷体" w:cs="微软雅黑"/>
          <w:color w:val="333333"/>
          <w:sz w:val="32"/>
          <w:szCs w:val="32"/>
        </w:rPr>
      </w:pPr>
      <w:r>
        <w:rPr>
          <w:rFonts w:hint="eastAsia" w:ascii="楷体" w:hAnsi="楷体" w:eastAsia="楷体" w:cs="微软雅黑"/>
          <w:color w:val="333333"/>
          <w:sz w:val="32"/>
          <w:szCs w:val="32"/>
        </w:rPr>
        <w:t>（三）事故发生单位安全管理情况</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hint="eastAsia" w:ascii="仿宋_GB2312" w:hAnsi="仿宋" w:eastAsia="仿宋_GB2312" w:cs="微软雅黑"/>
          <w:color w:val="333333"/>
          <w:sz w:val="32"/>
          <w:szCs w:val="32"/>
          <w:lang w:val="en-US" w:eastAsia="zh-CN"/>
        </w:rPr>
      </w:pPr>
      <w:r>
        <w:rPr>
          <w:rFonts w:hint="eastAsia" w:ascii="仿宋_GB2312" w:hAnsi="仿宋" w:eastAsia="仿宋_GB2312" w:cs="微软雅黑"/>
          <w:color w:val="333333"/>
          <w:sz w:val="32"/>
          <w:szCs w:val="32"/>
        </w:rPr>
        <w:t>事故发生单位黑龙江省乾成建筑装饰工程有限公司成立于2011年8月31日。公司未建立健全并落实本单位全员安全生产</w:t>
      </w:r>
      <w:r>
        <w:rPr>
          <w:rFonts w:hint="eastAsia" w:ascii="仿宋_GB2312" w:hAnsi="仿宋" w:eastAsia="仿宋_GB2312" w:cs="微软雅黑"/>
          <w:color w:val="333333"/>
          <w:sz w:val="32"/>
          <w:szCs w:val="32"/>
          <w:lang w:val="en-US" w:eastAsia="zh-CN"/>
        </w:rPr>
        <w:t>责任制，加强安全生产标准化建设；未组织制定并实施本单位安全生产教育和培训计划；未保证本单位安全生产投入的有效实施；未组织建立并落实安全风险分级管控和隐患排查治理双重预防工作机制，督促、检查本单位的安全生产工作，及时消除生产安全事故隐患；未组织制定并实施本单位的生产安全事故应急救援预案；未及时报告生产安全事故。</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楷体" w:hAnsi="楷体" w:eastAsia="楷体" w:cs="微软雅黑"/>
          <w:color w:val="333333"/>
          <w:sz w:val="32"/>
          <w:szCs w:val="32"/>
        </w:rPr>
      </w:pPr>
      <w:r>
        <w:rPr>
          <w:rFonts w:hint="eastAsia" w:ascii="楷体" w:hAnsi="楷体" w:eastAsia="楷体" w:cs="微软雅黑"/>
          <w:color w:val="333333"/>
          <w:sz w:val="32"/>
          <w:szCs w:val="32"/>
        </w:rPr>
        <w:t>（四）事故发生经过</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仿宋_GB2312"/>
          <w:color w:val="333333"/>
          <w:sz w:val="32"/>
          <w:szCs w:val="32"/>
        </w:rPr>
      </w:pPr>
      <w:r>
        <w:rPr>
          <w:rFonts w:hint="eastAsia" w:ascii="仿宋_GB2312" w:hAnsi="仿宋" w:eastAsia="仿宋_GB2312" w:cs="微软雅黑"/>
          <w:color w:val="333333"/>
          <w:sz w:val="32"/>
          <w:szCs w:val="32"/>
        </w:rPr>
        <w:t>2023年9月11日，黑龙江省乾成建筑装饰工程有限公司临时工人吴庆波和胡铁（死者）在施工现场安装升降货梯的主体框架，9时40分许，吴庆波在一楼门口组装施工材料，胡铁在二楼货梯井进行电焊，由于站立的木制简易马凳断裂，导致胡铁从约6米的高度摔落地面，造成重伤。</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楷体" w:hAnsi="楷体" w:eastAsia="楷体" w:cs="微软雅黑"/>
          <w:color w:val="333333"/>
          <w:sz w:val="32"/>
          <w:szCs w:val="32"/>
        </w:rPr>
      </w:pPr>
      <w:r>
        <w:rPr>
          <w:rFonts w:hint="eastAsia" w:ascii="楷体" w:hAnsi="楷体" w:eastAsia="楷体" w:cs="微软雅黑"/>
          <w:color w:val="333333"/>
          <w:sz w:val="32"/>
          <w:szCs w:val="32"/>
        </w:rPr>
        <w:t>（五）事故现场情况</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微软雅黑"/>
          <w:color w:val="333333"/>
          <w:sz w:val="32"/>
          <w:szCs w:val="32"/>
          <w:highlight w:val="yellow"/>
        </w:rPr>
      </w:pPr>
      <w:r>
        <w:rPr>
          <w:rFonts w:hint="eastAsia" w:ascii="仿宋_GB2312" w:hAnsi="仿宋" w:eastAsia="仿宋_GB2312" w:cs="微软雅黑"/>
          <w:color w:val="333333"/>
          <w:sz w:val="32"/>
          <w:szCs w:val="32"/>
        </w:rPr>
        <w:t>机场路366号为联排式仓库形式，事故发生处为两个仓库的连廊下方，连廊距离地面高度4米，升降梯的开口尺寸经实地测量为1.85*1.66米，二层地面楼板厚度70厘米，伤者站立的木制简易马凳高度90厘米，事故发生时伤者正站在木制简易马凳上，焊接二楼棚顶的金属立柱。</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楷体" w:hAnsi="楷体" w:eastAsia="楷体" w:cs="微软雅黑"/>
          <w:color w:val="333333"/>
          <w:sz w:val="32"/>
          <w:szCs w:val="32"/>
        </w:rPr>
      </w:pPr>
      <w:r>
        <w:rPr>
          <w:rFonts w:hint="eastAsia" w:ascii="楷体" w:hAnsi="楷体" w:eastAsia="楷体" w:cs="微软雅黑"/>
          <w:color w:val="333333"/>
          <w:sz w:val="32"/>
          <w:szCs w:val="32"/>
        </w:rPr>
        <w:t>（六）人员伤亡和直接经济损失情况</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事故造成焊工胡铁（男，41周岁，肇东市人，身份证号：232303198206161536）死亡。直接经济损失约6</w:t>
      </w:r>
      <w:r>
        <w:rPr>
          <w:rFonts w:ascii="仿宋_GB2312" w:hAnsi="仿宋" w:eastAsia="仿宋_GB2312" w:cs="微软雅黑"/>
          <w:color w:val="333333"/>
          <w:sz w:val="32"/>
          <w:szCs w:val="32"/>
        </w:rPr>
        <w:t>0</w:t>
      </w:r>
      <w:r>
        <w:rPr>
          <w:rFonts w:hint="eastAsia" w:ascii="仿宋_GB2312" w:hAnsi="仿宋" w:eastAsia="仿宋_GB2312" w:cs="微软雅黑"/>
          <w:color w:val="333333"/>
          <w:sz w:val="32"/>
          <w:szCs w:val="32"/>
        </w:rPr>
        <w:t>万元人民币（由于死者家属拒绝提供医疗清单，暂无法将医疗费用纳入直接经济损失）。</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楷体" w:hAnsi="楷体" w:eastAsia="楷体" w:cs="微软雅黑"/>
          <w:color w:val="333333"/>
          <w:sz w:val="32"/>
          <w:szCs w:val="32"/>
        </w:rPr>
      </w:pPr>
      <w:r>
        <w:rPr>
          <w:rFonts w:hint="eastAsia" w:ascii="楷体" w:hAnsi="楷体" w:eastAsia="楷体" w:cs="微软雅黑"/>
          <w:color w:val="333333"/>
          <w:sz w:val="32"/>
          <w:szCs w:val="32"/>
        </w:rPr>
        <w:t>（七）属地监管情况</w:t>
      </w:r>
    </w:p>
    <w:p>
      <w:pPr>
        <w:keepNext w:val="0"/>
        <w:keepLines w:val="0"/>
        <w:pageBreakBefore w:val="0"/>
        <w:kinsoku/>
        <w:wordWrap/>
        <w:overflowPunct/>
        <w:topLinePunct w:val="0"/>
        <w:autoSpaceDE/>
        <w:autoSpaceDN/>
        <w:bidi w:val="0"/>
        <w:adjustRightInd/>
        <w:snapToGrid/>
        <w:spacing w:line="560" w:lineRule="exact"/>
        <w:ind w:firstLine="640"/>
        <w:jc w:val="both"/>
        <w:rPr>
          <w:rFonts w:ascii="仿宋_GB2312" w:hAnsi="仿宋" w:eastAsia="仿宋_GB2312" w:cs="仿宋"/>
          <w:sz w:val="32"/>
          <w:szCs w:val="32"/>
        </w:rPr>
      </w:pPr>
      <w:r>
        <w:rPr>
          <w:rFonts w:hint="eastAsia" w:ascii="仿宋_GB2312" w:hAnsi="仿宋" w:eastAsia="仿宋_GB2312" w:cs="仿宋"/>
          <w:sz w:val="32"/>
          <w:szCs w:val="32"/>
        </w:rPr>
        <w:t>本年度，新发镇政府于8月29日对新发社区机场路366号院内黑龙江省瑞全医药有限责任公司承租的仓库开展安全检查一次。检查中传达了各级政府关于安全生产的精神，特别是5月15日镇政府召开的关于落实“重大事故隐患专项排查整治2023行动专题部署会议”的会议精神，要求企业一定要担负安全生产的主体责任，加强日常安全检查，对员工开展安全培训。对发现存在装修期间防护措施不足，施工人员对安全防护意识淡薄，安全警示标识不明显等3项问题，现场下达了整改通知。</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黑体" w:hAnsi="黑体" w:eastAsia="黑体" w:cs="微软雅黑"/>
          <w:color w:val="333333"/>
          <w:sz w:val="32"/>
          <w:szCs w:val="32"/>
        </w:rPr>
      </w:pPr>
      <w:r>
        <w:rPr>
          <w:rFonts w:hint="eastAsia" w:ascii="黑体" w:hAnsi="黑体" w:eastAsia="黑体" w:cs="微软雅黑"/>
          <w:color w:val="333333"/>
          <w:sz w:val="32"/>
          <w:szCs w:val="32"/>
        </w:rPr>
        <w:t>二、事故应急处置及评估情况</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0"/>
        <w:contextualSpacing/>
        <w:jc w:val="both"/>
        <w:rPr>
          <w:rFonts w:ascii="楷体" w:hAnsi="楷体" w:eastAsia="楷体" w:cs="微软雅黑"/>
          <w:color w:val="333333"/>
          <w:sz w:val="32"/>
          <w:szCs w:val="32"/>
        </w:rPr>
      </w:pPr>
      <w:r>
        <w:rPr>
          <w:rFonts w:hint="eastAsia" w:ascii="楷体" w:hAnsi="楷体" w:eastAsia="楷体" w:cs="微软雅黑"/>
          <w:color w:val="333333"/>
          <w:sz w:val="32"/>
          <w:szCs w:val="32"/>
        </w:rPr>
        <w:t>（一）事故信息接报及响应情况</w:t>
      </w:r>
    </w:p>
    <w:p>
      <w:pPr>
        <w:keepNext w:val="0"/>
        <w:keepLines w:val="0"/>
        <w:pageBreakBefore w:val="0"/>
        <w:widowControl/>
        <w:kinsoku/>
        <w:wordWrap/>
        <w:overflowPunct/>
        <w:topLinePunct w:val="0"/>
        <w:autoSpaceDE/>
        <w:autoSpaceDN/>
        <w:bidi w:val="0"/>
        <w:adjustRightInd/>
        <w:snapToGrid/>
        <w:spacing w:line="560" w:lineRule="exact"/>
        <w:ind w:firstLine="640" w:firstLineChars="200"/>
        <w:contextualSpacing/>
        <w:jc w:val="both"/>
        <w:textAlignment w:val="top"/>
        <w:rPr>
          <w:rFonts w:ascii="仿宋_GB2312" w:hAnsi="仿宋" w:eastAsia="仿宋_GB2312" w:cs="微软雅黑"/>
          <w:color w:val="333333"/>
          <w:kern w:val="0"/>
          <w:sz w:val="32"/>
          <w:szCs w:val="32"/>
          <w:highlight w:val="yellow"/>
        </w:rPr>
      </w:pPr>
      <w:r>
        <w:rPr>
          <w:rFonts w:hint="eastAsia" w:ascii="仿宋_GB2312" w:hAnsi="仿宋" w:eastAsia="仿宋_GB2312" w:cs="微软雅黑"/>
          <w:color w:val="333333"/>
          <w:kern w:val="0"/>
          <w:sz w:val="32"/>
          <w:szCs w:val="32"/>
        </w:rPr>
        <w:t>9月12日上午8时55分，道里区应急局值班室接胡铁家属报告事故，区应急局立即组织有关人员赶赴事故现场核实了解相关情况。经现场核实后，立即按照相关规定将事故初步信息上报道里区委办、区政府办、市应急局及事故直报系统。10月10日晚17时21分，区应急局工作人员接胡铁家属报告称胡铁因医治无效死亡，随后区应急局依据《生产安全事故报告和调查处理条例》第二十条第二款及其他相关规定，将事故等级调整为一般亡人事故，并向有关单位和部门进行了补充报告和通报。</w:t>
      </w:r>
    </w:p>
    <w:p>
      <w:pPr>
        <w:keepNext w:val="0"/>
        <w:keepLines w:val="0"/>
        <w:pageBreakBefore w:val="0"/>
        <w:widowControl/>
        <w:kinsoku/>
        <w:wordWrap/>
        <w:overflowPunct/>
        <w:topLinePunct w:val="0"/>
        <w:autoSpaceDE/>
        <w:autoSpaceDN/>
        <w:bidi w:val="0"/>
        <w:adjustRightInd/>
        <w:snapToGrid/>
        <w:spacing w:line="560" w:lineRule="exact"/>
        <w:ind w:firstLine="480" w:firstLineChars="150"/>
        <w:contextualSpacing/>
        <w:jc w:val="both"/>
        <w:textAlignment w:val="top"/>
        <w:rPr>
          <w:rFonts w:ascii="仿宋" w:hAnsi="仿宋" w:eastAsia="仿宋" w:cs="微软雅黑"/>
          <w:color w:val="333333"/>
          <w:kern w:val="0"/>
          <w:sz w:val="32"/>
          <w:szCs w:val="32"/>
        </w:rPr>
      </w:pPr>
      <w:r>
        <w:rPr>
          <w:rFonts w:hint="eastAsia" w:ascii="楷体" w:hAnsi="楷体" w:eastAsia="楷体" w:cs="微软雅黑"/>
          <w:color w:val="333333"/>
          <w:kern w:val="0"/>
          <w:sz w:val="32"/>
          <w:szCs w:val="32"/>
        </w:rPr>
        <w:t>（二）事故现场应急处置及评估情况</w:t>
      </w:r>
    </w:p>
    <w:p>
      <w:pPr>
        <w:keepNext w:val="0"/>
        <w:keepLines w:val="0"/>
        <w:pageBreakBefore w:val="0"/>
        <w:widowControl/>
        <w:kinsoku/>
        <w:wordWrap/>
        <w:overflowPunct/>
        <w:topLinePunct w:val="0"/>
        <w:autoSpaceDE/>
        <w:autoSpaceDN/>
        <w:bidi w:val="0"/>
        <w:adjustRightInd/>
        <w:snapToGrid/>
        <w:spacing w:line="560" w:lineRule="exact"/>
        <w:ind w:firstLine="645"/>
        <w:contextualSpacing/>
        <w:jc w:val="both"/>
        <w:textAlignment w:val="top"/>
        <w:rPr>
          <w:rFonts w:ascii="仿宋_GB2312" w:hAnsi="仿宋" w:eastAsia="仿宋_GB2312" w:cs="微软雅黑"/>
          <w:color w:val="333333"/>
          <w:kern w:val="0"/>
          <w:sz w:val="32"/>
          <w:szCs w:val="32"/>
        </w:rPr>
      </w:pPr>
      <w:r>
        <w:rPr>
          <w:rFonts w:hint="eastAsia" w:ascii="仿宋_GB2312" w:hAnsi="仿宋" w:eastAsia="仿宋_GB2312" w:cs="微软雅黑"/>
          <w:color w:val="333333"/>
          <w:kern w:val="0"/>
          <w:sz w:val="32"/>
          <w:szCs w:val="32"/>
        </w:rPr>
        <w:t>事故发生后，现场人员第一时间拨打“120”急救电话，约10时20分左右120到场，由120救护车送往高新医院进行抢救，后转到医大二院救治。</w:t>
      </w:r>
    </w:p>
    <w:p>
      <w:pPr>
        <w:keepNext w:val="0"/>
        <w:keepLines w:val="0"/>
        <w:pageBreakBefore w:val="0"/>
        <w:widowControl/>
        <w:kinsoku/>
        <w:wordWrap/>
        <w:overflowPunct/>
        <w:topLinePunct w:val="0"/>
        <w:autoSpaceDE/>
        <w:autoSpaceDN/>
        <w:bidi w:val="0"/>
        <w:adjustRightInd/>
        <w:snapToGrid/>
        <w:spacing w:line="560" w:lineRule="exact"/>
        <w:ind w:firstLine="645"/>
        <w:contextualSpacing/>
        <w:jc w:val="both"/>
        <w:textAlignment w:val="top"/>
        <w:rPr>
          <w:rFonts w:ascii="仿宋_GB2312" w:hAnsi="仿宋" w:eastAsia="仿宋_GB2312" w:cs="微软雅黑"/>
          <w:color w:val="333333"/>
          <w:kern w:val="0"/>
          <w:sz w:val="32"/>
          <w:szCs w:val="32"/>
        </w:rPr>
      </w:pPr>
      <w:r>
        <w:rPr>
          <w:rFonts w:hint="eastAsia" w:ascii="仿宋_GB2312" w:hAnsi="仿宋" w:eastAsia="仿宋_GB2312" w:cs="微软雅黑"/>
          <w:color w:val="333333"/>
          <w:kern w:val="0"/>
          <w:sz w:val="32"/>
          <w:szCs w:val="32"/>
        </w:rPr>
        <w:t>经评估，整个救援过程客观真实，应急响应及时。</w:t>
      </w:r>
    </w:p>
    <w:p>
      <w:pPr>
        <w:keepNext w:val="0"/>
        <w:keepLines w:val="0"/>
        <w:pageBreakBefore w:val="0"/>
        <w:widowControl/>
        <w:kinsoku/>
        <w:wordWrap/>
        <w:overflowPunct/>
        <w:topLinePunct w:val="0"/>
        <w:autoSpaceDE/>
        <w:autoSpaceDN/>
        <w:bidi w:val="0"/>
        <w:adjustRightInd/>
        <w:snapToGrid/>
        <w:spacing w:line="560" w:lineRule="exact"/>
        <w:ind w:firstLine="645"/>
        <w:contextualSpacing/>
        <w:jc w:val="both"/>
        <w:textAlignment w:val="top"/>
        <w:rPr>
          <w:rFonts w:ascii="楷体" w:hAnsi="楷体" w:eastAsia="楷体" w:cs="微软雅黑"/>
          <w:color w:val="333333"/>
          <w:kern w:val="0"/>
          <w:sz w:val="32"/>
          <w:szCs w:val="32"/>
        </w:rPr>
      </w:pPr>
      <w:r>
        <w:rPr>
          <w:rFonts w:hint="eastAsia" w:ascii="楷体" w:hAnsi="楷体" w:eastAsia="楷体" w:cs="微软雅黑"/>
          <w:color w:val="333333"/>
          <w:kern w:val="0"/>
          <w:sz w:val="32"/>
          <w:szCs w:val="32"/>
        </w:rPr>
        <w:t>（三）医疗救治和善后情况</w:t>
      </w:r>
    </w:p>
    <w:p>
      <w:pPr>
        <w:keepNext w:val="0"/>
        <w:keepLines w:val="0"/>
        <w:pageBreakBefore w:val="0"/>
        <w:widowControl/>
        <w:kinsoku/>
        <w:wordWrap/>
        <w:overflowPunct/>
        <w:topLinePunct w:val="0"/>
        <w:autoSpaceDE/>
        <w:autoSpaceDN/>
        <w:bidi w:val="0"/>
        <w:adjustRightInd/>
        <w:snapToGrid/>
        <w:spacing w:line="560" w:lineRule="exact"/>
        <w:ind w:firstLine="645"/>
        <w:contextualSpacing/>
        <w:jc w:val="both"/>
        <w:textAlignment w:val="top"/>
        <w:rPr>
          <w:rFonts w:ascii="仿宋_GB2312" w:hAnsi="楷体" w:eastAsia="仿宋_GB2312" w:cs="微软雅黑"/>
          <w:color w:val="333333"/>
          <w:kern w:val="0"/>
          <w:sz w:val="32"/>
          <w:szCs w:val="32"/>
        </w:rPr>
      </w:pPr>
      <w:r>
        <w:rPr>
          <w:rFonts w:hint="eastAsia" w:ascii="仿宋_GB2312" w:hAnsi="楷体" w:eastAsia="仿宋_GB2312" w:cs="微软雅黑"/>
          <w:color w:val="333333"/>
          <w:kern w:val="0"/>
          <w:sz w:val="32"/>
          <w:szCs w:val="32"/>
        </w:rPr>
        <w:t>1</w:t>
      </w:r>
      <w:r>
        <w:rPr>
          <w:rFonts w:ascii="仿宋_GB2312" w:hAnsi="楷体" w:eastAsia="仿宋_GB2312" w:cs="微软雅黑"/>
          <w:color w:val="333333"/>
          <w:kern w:val="0"/>
          <w:sz w:val="32"/>
          <w:szCs w:val="32"/>
        </w:rPr>
        <w:t>.</w:t>
      </w:r>
      <w:r>
        <w:rPr>
          <w:rFonts w:hint="eastAsia" w:ascii="仿宋_GB2312" w:hAnsi="楷体" w:eastAsia="仿宋_GB2312" w:cs="微软雅黑"/>
          <w:color w:val="333333"/>
          <w:kern w:val="0"/>
          <w:sz w:val="32"/>
          <w:szCs w:val="32"/>
        </w:rPr>
        <w:t>医疗救治情况</w:t>
      </w:r>
    </w:p>
    <w:p>
      <w:pPr>
        <w:keepNext w:val="0"/>
        <w:keepLines w:val="0"/>
        <w:pageBreakBefore w:val="0"/>
        <w:widowControl/>
        <w:kinsoku/>
        <w:wordWrap/>
        <w:overflowPunct/>
        <w:topLinePunct w:val="0"/>
        <w:autoSpaceDE/>
        <w:autoSpaceDN/>
        <w:bidi w:val="0"/>
        <w:adjustRightInd/>
        <w:snapToGrid/>
        <w:spacing w:line="560" w:lineRule="exact"/>
        <w:ind w:firstLine="645"/>
        <w:contextualSpacing/>
        <w:jc w:val="both"/>
        <w:textAlignment w:val="top"/>
        <w:rPr>
          <w:rFonts w:ascii="仿宋_GB2312" w:hAnsi="楷体" w:eastAsia="仿宋_GB2312" w:cs="微软雅黑"/>
          <w:color w:val="333333"/>
          <w:kern w:val="0"/>
          <w:sz w:val="32"/>
          <w:szCs w:val="32"/>
        </w:rPr>
      </w:pPr>
      <w:r>
        <w:rPr>
          <w:rFonts w:hint="eastAsia" w:ascii="仿宋_GB2312" w:hAnsi="楷体" w:eastAsia="仿宋_GB2312" w:cs="微软雅黑"/>
          <w:color w:val="333333"/>
          <w:kern w:val="0"/>
          <w:sz w:val="32"/>
          <w:szCs w:val="32"/>
        </w:rPr>
        <w:t>事故发生后，1</w:t>
      </w:r>
      <w:r>
        <w:rPr>
          <w:rFonts w:ascii="仿宋_GB2312" w:hAnsi="楷体" w:eastAsia="仿宋_GB2312" w:cs="微软雅黑"/>
          <w:color w:val="333333"/>
          <w:kern w:val="0"/>
          <w:sz w:val="32"/>
          <w:szCs w:val="32"/>
        </w:rPr>
        <w:t>20</w:t>
      </w:r>
      <w:r>
        <w:rPr>
          <w:rFonts w:hint="eastAsia" w:ascii="仿宋_GB2312" w:hAnsi="楷体" w:eastAsia="仿宋_GB2312" w:cs="微软雅黑"/>
          <w:color w:val="333333"/>
          <w:kern w:val="0"/>
          <w:sz w:val="32"/>
          <w:szCs w:val="32"/>
        </w:rPr>
        <w:t>救护车辆先将伤者胡铁送往高新医院救治，随后转到医大二院。据了解，治疗期间事故发生单位</w:t>
      </w:r>
      <w:r>
        <w:rPr>
          <w:rFonts w:hint="eastAsia" w:ascii="仿宋_GB2312" w:hAnsi="仿宋" w:eastAsia="仿宋_GB2312" w:cs="微软雅黑"/>
          <w:color w:val="333333"/>
          <w:sz w:val="32"/>
          <w:szCs w:val="32"/>
        </w:rPr>
        <w:t>乾成公司负责人杜志龙只支付了急救挂号费，其余费用均由胡铁家属承担。</w:t>
      </w:r>
      <w:r>
        <w:rPr>
          <w:rFonts w:hint="eastAsia" w:ascii="仿宋_GB2312" w:hAnsi="楷体" w:eastAsia="仿宋_GB2312" w:cs="微软雅黑"/>
          <w:color w:val="333333"/>
          <w:kern w:val="0"/>
          <w:sz w:val="32"/>
          <w:szCs w:val="32"/>
        </w:rPr>
        <w:t>至1</w:t>
      </w:r>
      <w:r>
        <w:rPr>
          <w:rFonts w:ascii="仿宋_GB2312" w:hAnsi="楷体" w:eastAsia="仿宋_GB2312" w:cs="微软雅黑"/>
          <w:color w:val="333333"/>
          <w:kern w:val="0"/>
          <w:sz w:val="32"/>
          <w:szCs w:val="32"/>
        </w:rPr>
        <w:t>0</w:t>
      </w:r>
      <w:r>
        <w:rPr>
          <w:rFonts w:hint="eastAsia" w:ascii="仿宋_GB2312" w:hAnsi="楷体" w:eastAsia="仿宋_GB2312" w:cs="微软雅黑"/>
          <w:color w:val="333333"/>
          <w:kern w:val="0"/>
          <w:sz w:val="32"/>
          <w:szCs w:val="32"/>
        </w:rPr>
        <w:t>月1</w:t>
      </w:r>
      <w:r>
        <w:rPr>
          <w:rFonts w:ascii="仿宋_GB2312" w:hAnsi="楷体" w:eastAsia="仿宋_GB2312" w:cs="微软雅黑"/>
          <w:color w:val="333333"/>
          <w:kern w:val="0"/>
          <w:sz w:val="32"/>
          <w:szCs w:val="32"/>
        </w:rPr>
        <w:t>0</w:t>
      </w:r>
      <w:r>
        <w:rPr>
          <w:rFonts w:hint="eastAsia" w:ascii="仿宋_GB2312" w:hAnsi="楷体" w:eastAsia="仿宋_GB2312" w:cs="微软雅黑"/>
          <w:color w:val="333333"/>
          <w:kern w:val="0"/>
          <w:sz w:val="32"/>
          <w:szCs w:val="32"/>
        </w:rPr>
        <w:t>日，胡铁因抢救无效死亡。</w:t>
      </w:r>
    </w:p>
    <w:p>
      <w:pPr>
        <w:keepNext w:val="0"/>
        <w:keepLines w:val="0"/>
        <w:pageBreakBefore w:val="0"/>
        <w:widowControl/>
        <w:kinsoku/>
        <w:wordWrap/>
        <w:overflowPunct/>
        <w:topLinePunct w:val="0"/>
        <w:autoSpaceDE/>
        <w:autoSpaceDN/>
        <w:bidi w:val="0"/>
        <w:adjustRightInd/>
        <w:snapToGrid/>
        <w:spacing w:line="560" w:lineRule="exact"/>
        <w:ind w:firstLine="645"/>
        <w:contextualSpacing/>
        <w:jc w:val="both"/>
        <w:textAlignment w:val="top"/>
        <w:rPr>
          <w:rFonts w:ascii="仿宋_GB2312" w:hAnsi="楷体" w:eastAsia="仿宋_GB2312" w:cs="微软雅黑"/>
          <w:color w:val="333333"/>
          <w:kern w:val="0"/>
          <w:sz w:val="32"/>
          <w:szCs w:val="32"/>
        </w:rPr>
      </w:pPr>
      <w:r>
        <w:rPr>
          <w:rFonts w:hint="eastAsia" w:ascii="仿宋_GB2312" w:hAnsi="楷体" w:eastAsia="仿宋_GB2312" w:cs="微软雅黑"/>
          <w:color w:val="333333"/>
          <w:kern w:val="0"/>
          <w:sz w:val="32"/>
          <w:szCs w:val="32"/>
        </w:rPr>
        <w:t>2</w:t>
      </w:r>
      <w:r>
        <w:rPr>
          <w:rFonts w:ascii="仿宋_GB2312" w:hAnsi="楷体" w:eastAsia="仿宋_GB2312" w:cs="微软雅黑"/>
          <w:color w:val="333333"/>
          <w:kern w:val="0"/>
          <w:sz w:val="32"/>
          <w:szCs w:val="32"/>
        </w:rPr>
        <w:t>.</w:t>
      </w:r>
      <w:r>
        <w:rPr>
          <w:rFonts w:hint="eastAsia" w:ascii="仿宋_GB2312" w:hAnsi="楷体" w:eastAsia="仿宋_GB2312" w:cs="微软雅黑"/>
          <w:color w:val="333333"/>
          <w:kern w:val="0"/>
          <w:sz w:val="32"/>
          <w:szCs w:val="32"/>
        </w:rPr>
        <w:t>善后情况</w:t>
      </w:r>
    </w:p>
    <w:p>
      <w:pPr>
        <w:keepNext w:val="0"/>
        <w:keepLines w:val="0"/>
        <w:pageBreakBefore w:val="0"/>
        <w:widowControl/>
        <w:kinsoku/>
        <w:wordWrap/>
        <w:overflowPunct/>
        <w:topLinePunct w:val="0"/>
        <w:autoSpaceDE/>
        <w:autoSpaceDN/>
        <w:bidi w:val="0"/>
        <w:adjustRightInd/>
        <w:snapToGrid/>
        <w:spacing w:line="560" w:lineRule="exact"/>
        <w:ind w:firstLine="645"/>
        <w:contextualSpacing/>
        <w:jc w:val="both"/>
        <w:textAlignment w:val="top"/>
        <w:rPr>
          <w:rFonts w:ascii="仿宋_GB2312" w:hAnsi="仿宋" w:eastAsia="仿宋_GB2312" w:cs="微软雅黑"/>
          <w:color w:val="333333"/>
          <w:sz w:val="32"/>
          <w:szCs w:val="32"/>
        </w:rPr>
      </w:pPr>
      <w:r>
        <w:rPr>
          <w:rFonts w:hint="eastAsia" w:ascii="仿宋_GB2312" w:hAnsi="楷体" w:eastAsia="仿宋_GB2312" w:cs="微软雅黑"/>
          <w:color w:val="333333"/>
          <w:kern w:val="0"/>
          <w:sz w:val="32"/>
          <w:szCs w:val="32"/>
        </w:rPr>
        <w:t>由于事故发生后，</w:t>
      </w:r>
      <w:r>
        <w:rPr>
          <w:rFonts w:hint="eastAsia" w:ascii="仿宋_GB2312" w:hAnsi="仿宋" w:eastAsia="仿宋_GB2312" w:cs="微软雅黑"/>
          <w:color w:val="333333"/>
          <w:sz w:val="32"/>
          <w:szCs w:val="32"/>
        </w:rPr>
        <w:t>乾成公司一直未支付（或垫付）胡铁的医疗费用，也未与胡铁家属协商赔偿等相关问题，胡铁去逝后，其家属情绪非常激动。1</w:t>
      </w:r>
      <w:r>
        <w:rPr>
          <w:rFonts w:ascii="仿宋_GB2312" w:hAnsi="仿宋" w:eastAsia="仿宋_GB2312" w:cs="微软雅黑"/>
          <w:color w:val="333333"/>
          <w:sz w:val="32"/>
          <w:szCs w:val="32"/>
        </w:rPr>
        <w:t>0</w:t>
      </w:r>
      <w:r>
        <w:rPr>
          <w:rFonts w:hint="eastAsia" w:ascii="仿宋_GB2312" w:hAnsi="仿宋" w:eastAsia="仿宋_GB2312" w:cs="微软雅黑"/>
          <w:color w:val="333333"/>
          <w:sz w:val="32"/>
          <w:szCs w:val="32"/>
        </w:rPr>
        <w:t>月1</w:t>
      </w:r>
      <w:r>
        <w:rPr>
          <w:rFonts w:ascii="仿宋_GB2312" w:hAnsi="仿宋" w:eastAsia="仿宋_GB2312" w:cs="微软雅黑"/>
          <w:color w:val="333333"/>
          <w:sz w:val="32"/>
          <w:szCs w:val="32"/>
        </w:rPr>
        <w:t>1</w:t>
      </w:r>
      <w:r>
        <w:rPr>
          <w:rFonts w:hint="eastAsia" w:ascii="仿宋_GB2312" w:hAnsi="仿宋" w:eastAsia="仿宋_GB2312" w:cs="微软雅黑"/>
          <w:color w:val="333333"/>
          <w:sz w:val="32"/>
          <w:szCs w:val="32"/>
        </w:rPr>
        <w:t>日上午，胡铁家属违反相关法律规定将胡铁遗体抬至事故发生地道里区机场路3</w:t>
      </w:r>
      <w:r>
        <w:rPr>
          <w:rFonts w:ascii="仿宋_GB2312" w:hAnsi="仿宋" w:eastAsia="仿宋_GB2312" w:cs="微软雅黑"/>
          <w:color w:val="333333"/>
          <w:sz w:val="32"/>
          <w:szCs w:val="32"/>
        </w:rPr>
        <w:t>66</w:t>
      </w:r>
      <w:r>
        <w:rPr>
          <w:rFonts w:hint="eastAsia" w:ascii="仿宋_GB2312" w:hAnsi="仿宋" w:eastAsia="仿宋_GB2312" w:cs="微软雅黑"/>
          <w:color w:val="333333"/>
          <w:sz w:val="32"/>
          <w:szCs w:val="32"/>
        </w:rPr>
        <w:t>号院门前停放。道里区新发镇政府、市公安局道里分局、道里区应急局等单位接到报告后，立即组织人员赶赴现场进行维稳工作。市公安局道里分局出动大量警力，在劝说无效的情况下，对现场部分具有违法行为的人员采取了强制措施。当晚，上述参与维稳的三家单位及事故调查组，先后紧急召开会议，分别对维稳善后工作、事故调查处理工作进行了部署和推进。</w:t>
      </w:r>
    </w:p>
    <w:p>
      <w:pPr>
        <w:keepNext w:val="0"/>
        <w:keepLines w:val="0"/>
        <w:pageBreakBefore w:val="0"/>
        <w:widowControl/>
        <w:kinsoku/>
        <w:wordWrap/>
        <w:overflowPunct/>
        <w:topLinePunct w:val="0"/>
        <w:autoSpaceDE/>
        <w:autoSpaceDN/>
        <w:bidi w:val="0"/>
        <w:adjustRightInd/>
        <w:snapToGrid/>
        <w:spacing w:line="560" w:lineRule="exact"/>
        <w:ind w:firstLine="645"/>
        <w:contextualSpacing/>
        <w:jc w:val="both"/>
        <w:textAlignment w:val="top"/>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1</w:t>
      </w:r>
      <w:r>
        <w:rPr>
          <w:rFonts w:ascii="仿宋_GB2312" w:hAnsi="仿宋" w:eastAsia="仿宋_GB2312" w:cs="微软雅黑"/>
          <w:color w:val="333333"/>
          <w:sz w:val="32"/>
          <w:szCs w:val="32"/>
        </w:rPr>
        <w:t>2</w:t>
      </w:r>
      <w:r>
        <w:rPr>
          <w:rFonts w:hint="eastAsia" w:ascii="仿宋_GB2312" w:hAnsi="仿宋" w:eastAsia="仿宋_GB2312" w:cs="微软雅黑"/>
          <w:color w:val="333333"/>
          <w:sz w:val="32"/>
          <w:szCs w:val="32"/>
        </w:rPr>
        <w:t>月7日，通过新发镇政府努力协调，胡铁家属与涉事单位签署了《和解协议书》，约定了赔偿金额和相关细则。</w:t>
      </w:r>
    </w:p>
    <w:p>
      <w:pPr>
        <w:keepNext w:val="0"/>
        <w:keepLines w:val="0"/>
        <w:pageBreakBefore w:val="0"/>
        <w:widowControl/>
        <w:kinsoku/>
        <w:wordWrap/>
        <w:overflowPunct/>
        <w:topLinePunct w:val="0"/>
        <w:autoSpaceDE/>
        <w:autoSpaceDN/>
        <w:bidi w:val="0"/>
        <w:adjustRightInd/>
        <w:snapToGrid/>
        <w:spacing w:line="560" w:lineRule="exact"/>
        <w:ind w:firstLine="645"/>
        <w:contextualSpacing/>
        <w:jc w:val="both"/>
        <w:textAlignment w:val="top"/>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截至目前，事故调查工作已基本结束。由于胡铁家属不同意对胡铁遗体进行法医学检验等原因，法鉴工作仍无法推进，无法从科学角度确定胡铁死因。</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黑体" w:hAnsi="黑体" w:eastAsia="黑体" w:cs="微软雅黑"/>
          <w:color w:val="333333"/>
          <w:sz w:val="32"/>
          <w:szCs w:val="32"/>
        </w:rPr>
      </w:pPr>
      <w:r>
        <w:rPr>
          <w:rFonts w:hint="eastAsia" w:ascii="黑体" w:hAnsi="黑体" w:eastAsia="黑体" w:cs="微软雅黑"/>
          <w:color w:val="333333"/>
          <w:sz w:val="32"/>
          <w:szCs w:val="32"/>
        </w:rPr>
        <w:t>三、事故原因分析</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0"/>
        <w:contextualSpacing/>
        <w:jc w:val="both"/>
        <w:rPr>
          <w:rFonts w:ascii="楷体" w:hAnsi="楷体" w:eastAsia="楷体" w:cs="微软雅黑"/>
          <w:color w:val="333333"/>
          <w:sz w:val="32"/>
          <w:szCs w:val="32"/>
        </w:rPr>
      </w:pPr>
      <w:r>
        <w:rPr>
          <w:rFonts w:hint="eastAsia" w:ascii="楷体" w:hAnsi="楷体" w:eastAsia="楷体" w:cs="微软雅黑"/>
          <w:color w:val="333333"/>
          <w:sz w:val="32"/>
          <w:szCs w:val="32"/>
        </w:rPr>
        <w:t>（一）直接原因分析</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contextualSpacing/>
        <w:jc w:val="both"/>
        <w:rPr>
          <w:rFonts w:ascii="仿宋_GB2312" w:hAnsi="仿宋" w:eastAsia="仿宋_GB2312" w:cs="仿宋_GB2312"/>
          <w:color w:val="333333"/>
          <w:sz w:val="32"/>
          <w:szCs w:val="32"/>
        </w:rPr>
      </w:pPr>
      <w:r>
        <w:rPr>
          <w:rFonts w:hint="eastAsia" w:ascii="仿宋_GB2312" w:hAnsi="仿宋" w:eastAsia="仿宋_GB2312" w:cs="仿宋_GB2312"/>
          <w:color w:val="333333"/>
          <w:sz w:val="32"/>
          <w:szCs w:val="32"/>
        </w:rPr>
        <w:t>施工人员进行高处作业</w:t>
      </w:r>
      <w:r>
        <w:rPr>
          <w:rStyle w:val="19"/>
          <w:rFonts w:ascii="仿宋_GB2312" w:hAnsi="仿宋" w:eastAsia="仿宋_GB2312" w:cs="仿宋_GB2312"/>
          <w:color w:val="333333"/>
          <w:sz w:val="32"/>
          <w:szCs w:val="32"/>
        </w:rPr>
        <w:t>[</w:t>
      </w:r>
      <w:r>
        <w:rPr>
          <w:rStyle w:val="19"/>
          <w:rFonts w:ascii="仿宋_GB2312" w:hAnsi="仿宋" w:eastAsia="仿宋_GB2312" w:cs="仿宋_GB2312"/>
          <w:color w:val="333333"/>
          <w:sz w:val="32"/>
          <w:szCs w:val="32"/>
        </w:rPr>
        <w:footnoteReference w:id="1"/>
      </w:r>
      <w:r>
        <w:rPr>
          <w:rStyle w:val="19"/>
          <w:rFonts w:ascii="仿宋_GB2312" w:hAnsi="仿宋" w:eastAsia="仿宋_GB2312" w:cs="仿宋_GB2312"/>
          <w:color w:val="333333"/>
          <w:sz w:val="32"/>
          <w:szCs w:val="32"/>
        </w:rPr>
        <w:t>]</w:t>
      </w:r>
      <w:r>
        <w:rPr>
          <w:rFonts w:hint="eastAsia" w:ascii="仿宋_GB2312" w:hAnsi="仿宋" w:eastAsia="仿宋_GB2312" w:cs="仿宋_GB2312"/>
          <w:color w:val="333333"/>
          <w:sz w:val="32"/>
          <w:szCs w:val="32"/>
        </w:rPr>
        <w:t>时没有佩戴安全带</w:t>
      </w:r>
      <w:r>
        <w:rPr>
          <w:rStyle w:val="19"/>
          <w:rFonts w:ascii="仿宋_GB2312" w:hAnsi="仿宋" w:eastAsia="仿宋_GB2312" w:cs="仿宋_GB2312"/>
          <w:color w:val="333333"/>
          <w:sz w:val="32"/>
          <w:szCs w:val="32"/>
        </w:rPr>
        <w:t>[</w:t>
      </w:r>
      <w:r>
        <w:rPr>
          <w:rStyle w:val="19"/>
          <w:rFonts w:ascii="仿宋_GB2312" w:hAnsi="仿宋" w:eastAsia="仿宋_GB2312" w:cs="仿宋_GB2312"/>
          <w:color w:val="333333"/>
          <w:sz w:val="32"/>
          <w:szCs w:val="32"/>
        </w:rPr>
        <w:footnoteReference w:id="2"/>
      </w:r>
      <w:r>
        <w:rPr>
          <w:rStyle w:val="19"/>
          <w:rFonts w:ascii="仿宋_GB2312" w:hAnsi="仿宋" w:eastAsia="仿宋_GB2312" w:cs="仿宋_GB2312"/>
          <w:color w:val="333333"/>
          <w:sz w:val="32"/>
          <w:szCs w:val="32"/>
        </w:rPr>
        <w:t>]</w:t>
      </w:r>
      <w:r>
        <w:rPr>
          <w:rFonts w:hint="eastAsia" w:ascii="仿宋_GB2312" w:hAnsi="仿宋" w:eastAsia="仿宋_GB2312" w:cs="仿宋_GB2312"/>
          <w:color w:val="333333"/>
          <w:sz w:val="32"/>
          <w:szCs w:val="32"/>
        </w:rPr>
        <w:t>和临时使用不牢固的木制简易马凳作为操作平台</w:t>
      </w:r>
      <w:r>
        <w:rPr>
          <w:rStyle w:val="19"/>
          <w:rFonts w:ascii="仿宋_GB2312" w:hAnsi="仿宋" w:eastAsia="仿宋_GB2312" w:cs="仿宋_GB2312"/>
          <w:color w:val="333333"/>
          <w:sz w:val="32"/>
          <w:szCs w:val="32"/>
        </w:rPr>
        <w:t>[</w:t>
      </w:r>
      <w:r>
        <w:rPr>
          <w:rStyle w:val="19"/>
          <w:rFonts w:ascii="仿宋_GB2312" w:hAnsi="仿宋" w:eastAsia="仿宋_GB2312" w:cs="仿宋_GB2312"/>
          <w:color w:val="333333"/>
          <w:sz w:val="32"/>
          <w:szCs w:val="32"/>
        </w:rPr>
        <w:footnoteReference w:id="3"/>
      </w:r>
      <w:r>
        <w:rPr>
          <w:rStyle w:val="19"/>
          <w:rFonts w:ascii="仿宋_GB2312" w:hAnsi="仿宋" w:eastAsia="仿宋_GB2312" w:cs="仿宋_GB2312"/>
          <w:color w:val="333333"/>
          <w:sz w:val="32"/>
          <w:szCs w:val="32"/>
        </w:rPr>
        <w:t>]</w:t>
      </w:r>
      <w:r>
        <w:rPr>
          <w:rFonts w:hint="eastAsia" w:ascii="仿宋_GB2312" w:hAnsi="仿宋" w:eastAsia="仿宋_GB2312" w:cs="仿宋_GB2312"/>
          <w:color w:val="333333"/>
          <w:sz w:val="32"/>
          <w:szCs w:val="32"/>
        </w:rPr>
        <w:t>，由于木制简易马凳断裂，导致施工人员胡铁坠落，是引发该起事故的直接原因。</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0"/>
        <w:contextualSpacing/>
        <w:jc w:val="both"/>
        <w:rPr>
          <w:rFonts w:ascii="楷体" w:hAnsi="楷体" w:eastAsia="楷体" w:cs="微软雅黑"/>
          <w:color w:val="333333"/>
          <w:sz w:val="32"/>
          <w:szCs w:val="32"/>
        </w:rPr>
      </w:pPr>
      <w:r>
        <w:rPr>
          <w:rFonts w:hint="eastAsia" w:ascii="楷体" w:hAnsi="楷体" w:eastAsia="楷体" w:cs="微软雅黑"/>
          <w:color w:val="333333"/>
          <w:sz w:val="32"/>
          <w:szCs w:val="32"/>
        </w:rPr>
        <w:t>（二）事故相关检验检测和鉴定情况</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0"/>
        <w:contextualSpacing/>
        <w:jc w:val="both"/>
        <w:rPr>
          <w:rFonts w:hint="eastAsia" w:ascii="仿宋_GB2312" w:hAnsi="仿宋" w:eastAsia="仿宋_GB2312" w:cs="微软雅黑"/>
          <w:color w:val="333333"/>
          <w:sz w:val="32"/>
          <w:szCs w:val="32"/>
        </w:rPr>
      </w:pPr>
      <w:r>
        <w:rPr>
          <w:rFonts w:hint="eastAsia" w:ascii="仿宋_GB2312" w:hAnsi="仿宋" w:eastAsia="仿宋_GB2312" w:cs="微软雅黑"/>
          <w:color w:val="333333"/>
          <w:sz w:val="32"/>
          <w:szCs w:val="32"/>
        </w:rPr>
        <w:t>发生事故的地址在</w:t>
      </w:r>
      <w:r>
        <w:rPr>
          <w:rFonts w:hint="eastAsia" w:ascii="仿宋_GB2312" w:hAnsi="楷体" w:eastAsia="仿宋_GB2312" w:cs="微软雅黑"/>
          <w:color w:val="333333"/>
          <w:sz w:val="32"/>
          <w:szCs w:val="32"/>
        </w:rPr>
        <w:t>道里区机场路366号1栋和2栋之间的连廊</w:t>
      </w:r>
      <w:r>
        <w:rPr>
          <w:rFonts w:hint="eastAsia" w:ascii="仿宋_GB2312" w:hAnsi="仿宋" w:eastAsia="仿宋_GB2312" w:cs="微软雅黑"/>
          <w:color w:val="333333"/>
          <w:sz w:val="32"/>
          <w:szCs w:val="32"/>
        </w:rPr>
        <w:t>，如下图。</w:t>
      </w:r>
    </w:p>
    <w:p>
      <w:pPr>
        <w:pStyle w:val="10"/>
        <w:keepNext w:val="0"/>
        <w:keepLines w:val="0"/>
        <w:pageBreakBefore w:val="0"/>
        <w:widowControl/>
        <w:kinsoku/>
        <w:wordWrap/>
        <w:overflowPunct/>
        <w:topLinePunct w:val="0"/>
        <w:autoSpaceDE/>
        <w:autoSpaceDN/>
        <w:bidi w:val="0"/>
        <w:adjustRightInd/>
        <w:snapToGrid/>
        <w:spacing w:beforeAutospacing="0" w:afterAutospacing="0" w:line="240" w:lineRule="auto"/>
        <w:contextualSpacing/>
        <w:jc w:val="center"/>
        <w:rPr>
          <w:rFonts w:hint="eastAsia" w:ascii="仿宋_GB2312" w:hAnsi="仿宋" w:eastAsia="仿宋_GB2312" w:cs="微软雅黑"/>
          <w:color w:val="333333"/>
          <w:sz w:val="32"/>
          <w:szCs w:val="32"/>
          <w:lang w:eastAsia="zh-CN"/>
        </w:rPr>
      </w:pPr>
      <w:r>
        <w:rPr>
          <w:rFonts w:hint="eastAsia" w:ascii="仿宋_GB2312" w:hAnsi="仿宋" w:eastAsia="仿宋_GB2312" w:cs="微软雅黑"/>
          <w:color w:val="333333"/>
          <w:sz w:val="32"/>
          <w:szCs w:val="32"/>
          <w:lang w:eastAsia="zh-CN"/>
        </w:rPr>
        <w:drawing>
          <wp:inline distT="0" distB="0" distL="114300" distR="114300">
            <wp:extent cx="3738880" cy="3639820"/>
            <wp:effectExtent l="0" t="0" r="13970" b="17780"/>
            <wp:docPr id="4" name="图片 4" descr="911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11图片1"/>
                    <pic:cNvPicPr>
                      <a:picLocks noChangeAspect="1"/>
                    </pic:cNvPicPr>
                  </pic:nvPicPr>
                  <pic:blipFill>
                    <a:blip r:embed="rId11"/>
                    <a:stretch>
                      <a:fillRect/>
                    </a:stretch>
                  </pic:blipFill>
                  <pic:spPr>
                    <a:xfrm>
                      <a:off x="0" y="0"/>
                      <a:ext cx="3738880" cy="3639820"/>
                    </a:xfrm>
                    <a:prstGeom prst="rect">
                      <a:avLst/>
                    </a:prstGeom>
                  </pic:spPr>
                </pic:pic>
              </a:graphicData>
            </a:graphic>
          </wp:inline>
        </w:drawing>
      </w:r>
    </w:p>
    <w:p>
      <w:pPr>
        <w:pStyle w:val="10"/>
        <w:widowControl/>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现场连廊宽度3.1米，二楼地面开口尺寸1.9米*1.7米，升降机主体立柱宽度1.6米。</w:t>
      </w:r>
    </w:p>
    <w:p>
      <w:pPr>
        <w:pStyle w:val="10"/>
        <w:widowControl/>
        <w:spacing w:beforeAutospacing="0" w:afterAutospacing="0"/>
        <w:contextualSpacing/>
        <w:jc w:val="both"/>
        <w:rPr>
          <w:rFonts w:hint="eastAsia" w:ascii="仿宋_GB2312" w:hAnsi="仿宋" w:eastAsia="仿宋_GB2312" w:cs="微软雅黑"/>
          <w:color w:val="333333"/>
          <w:sz w:val="32"/>
          <w:szCs w:val="32"/>
          <w:lang w:eastAsia="zh-CN"/>
        </w:rPr>
      </w:pPr>
      <w:r>
        <w:rPr>
          <w:rFonts w:hint="eastAsia" w:ascii="仿宋_GB2312" w:hAnsi="仿宋" w:eastAsia="仿宋_GB2312" w:cs="微软雅黑"/>
          <w:color w:val="333333"/>
          <w:sz w:val="32"/>
          <w:szCs w:val="32"/>
        </w:rPr>
        <w:drawing>
          <wp:inline distT="0" distB="0" distL="114300" distR="114300">
            <wp:extent cx="2828925" cy="3368040"/>
            <wp:effectExtent l="0" t="0" r="9525" b="381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12"/>
                    <a:stretch>
                      <a:fillRect/>
                    </a:stretch>
                  </pic:blipFill>
                  <pic:spPr>
                    <a:xfrm>
                      <a:off x="0" y="0"/>
                      <a:ext cx="2828925" cy="3368040"/>
                    </a:xfrm>
                    <a:prstGeom prst="rect">
                      <a:avLst/>
                    </a:prstGeom>
                  </pic:spPr>
                </pic:pic>
              </a:graphicData>
            </a:graphic>
          </wp:inline>
        </w:drawing>
      </w:r>
      <w:r>
        <w:rPr>
          <w:rFonts w:hint="eastAsia" w:ascii="仿宋_GB2312" w:hAnsi="仿宋" w:eastAsia="仿宋_GB2312" w:cs="微软雅黑"/>
          <w:color w:val="333333"/>
          <w:sz w:val="32"/>
          <w:szCs w:val="32"/>
          <w:lang w:eastAsia="zh-CN"/>
        </w:rPr>
        <w:drawing>
          <wp:inline distT="0" distB="0" distL="114300" distR="114300">
            <wp:extent cx="2705100" cy="3346450"/>
            <wp:effectExtent l="0" t="0" r="0" b="635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3"/>
                    <a:stretch>
                      <a:fillRect/>
                    </a:stretch>
                  </pic:blipFill>
                  <pic:spPr>
                    <a:xfrm>
                      <a:off x="0" y="0"/>
                      <a:ext cx="2705100" cy="3346450"/>
                    </a:xfrm>
                    <a:prstGeom prst="rect">
                      <a:avLst/>
                    </a:prstGeom>
                  </pic:spPr>
                </pic:pic>
              </a:graphicData>
            </a:graphic>
          </wp:inline>
        </w:drawing>
      </w:r>
    </w:p>
    <w:p>
      <w:pPr>
        <w:pStyle w:val="10"/>
        <w:widowControl/>
        <w:spacing w:beforeAutospacing="0" w:afterAutospacing="0" w:line="560" w:lineRule="exact"/>
        <w:ind w:firstLine="420"/>
        <w:contextualSpacing/>
        <w:jc w:val="both"/>
        <w:rPr>
          <w:rFonts w:ascii="楷体" w:hAnsi="楷体" w:eastAsia="楷体" w:cs="微软雅黑"/>
          <w:color w:val="333333"/>
          <w:sz w:val="32"/>
          <w:szCs w:val="32"/>
        </w:rPr>
      </w:pPr>
      <w:r>
        <w:rPr>
          <w:rFonts w:hint="eastAsia" w:ascii="楷体" w:hAnsi="楷体" w:eastAsia="楷体" w:cs="微软雅黑"/>
          <w:color w:val="333333"/>
          <w:sz w:val="32"/>
          <w:szCs w:val="32"/>
        </w:rPr>
        <w:t>（三）其他可能因素排除</w:t>
      </w:r>
    </w:p>
    <w:p>
      <w:pPr>
        <w:pStyle w:val="10"/>
        <w:widowControl/>
        <w:spacing w:beforeAutospacing="0" w:afterAutospacing="0" w:line="560" w:lineRule="exact"/>
        <w:ind w:firstLine="640" w:firstLineChars="200"/>
        <w:contextualSpacing/>
        <w:jc w:val="both"/>
        <w:rPr>
          <w:rFonts w:ascii="仿宋_GB2312" w:hAnsi="楷体" w:eastAsia="仿宋_GB2312" w:cs="微软雅黑"/>
          <w:sz w:val="32"/>
          <w:szCs w:val="32"/>
        </w:rPr>
      </w:pPr>
      <w:r>
        <w:rPr>
          <w:rFonts w:hint="eastAsia" w:ascii="仿宋_GB2312" w:hAnsi="楷体" w:eastAsia="仿宋_GB2312" w:cs="微软雅黑"/>
          <w:sz w:val="32"/>
          <w:szCs w:val="32"/>
        </w:rPr>
        <w:t>经市公安局道里分局刑事技术大队和属地派出所现场勘察分析，排除事故发生时存在自杀、他杀等刑事案件可能。由于死者家属拒绝</w:t>
      </w:r>
      <w:r>
        <w:rPr>
          <w:rFonts w:hint="eastAsia" w:ascii="仿宋_GB2312" w:hAnsi="楷体" w:eastAsia="仿宋_GB2312" w:cs="微软雅黑"/>
          <w:sz w:val="32"/>
          <w:szCs w:val="32"/>
          <w:lang w:val="en-US" w:eastAsia="zh-CN"/>
        </w:rPr>
        <w:t>公安机关</w:t>
      </w:r>
      <w:r>
        <w:rPr>
          <w:rFonts w:hint="eastAsia" w:ascii="仿宋_GB2312" w:hAnsi="楷体" w:eastAsia="仿宋_GB2312" w:cs="微软雅黑"/>
          <w:sz w:val="32"/>
          <w:szCs w:val="32"/>
        </w:rPr>
        <w:t>对死者胡铁遗体进行法医学检验，暂无死者遗体法鉴结果，无法确定具体死亡原因。</w:t>
      </w:r>
    </w:p>
    <w:p>
      <w:pPr>
        <w:pStyle w:val="10"/>
        <w:widowControl/>
        <w:spacing w:beforeAutospacing="0" w:afterAutospacing="0" w:line="560" w:lineRule="exact"/>
        <w:ind w:firstLine="420"/>
        <w:contextualSpacing/>
        <w:jc w:val="both"/>
        <w:rPr>
          <w:rFonts w:ascii="楷体" w:hAnsi="楷体" w:eastAsia="楷体" w:cs="微软雅黑"/>
          <w:sz w:val="32"/>
          <w:szCs w:val="32"/>
        </w:rPr>
      </w:pPr>
      <w:r>
        <w:rPr>
          <w:rFonts w:hint="eastAsia" w:ascii="楷体" w:hAnsi="楷体" w:eastAsia="楷体" w:cs="微软雅黑"/>
          <w:sz w:val="32"/>
          <w:szCs w:val="32"/>
        </w:rPr>
        <w:t>（四）间接原因分析</w:t>
      </w:r>
    </w:p>
    <w:p>
      <w:pPr>
        <w:pStyle w:val="10"/>
        <w:widowControl/>
        <w:spacing w:beforeAutospacing="0" w:afterAutospacing="0" w:line="560" w:lineRule="exact"/>
        <w:ind w:firstLine="420"/>
        <w:contextualSpacing/>
        <w:jc w:val="both"/>
        <w:rPr>
          <w:rFonts w:ascii="仿宋_GB2312" w:hAnsi="楷体" w:eastAsia="仿宋_GB2312" w:cs="微软雅黑"/>
          <w:color w:val="333333"/>
          <w:sz w:val="32"/>
          <w:szCs w:val="32"/>
        </w:rPr>
      </w:pPr>
      <w:r>
        <w:rPr>
          <w:rFonts w:ascii="仿宋_GB2312" w:hAnsi="仿宋" w:eastAsia="仿宋_GB2312" w:cs="微软雅黑"/>
          <w:color w:val="333333"/>
          <w:sz w:val="32"/>
          <w:szCs w:val="32"/>
        </w:rPr>
        <w:t>1.</w:t>
      </w:r>
      <w:r>
        <w:rPr>
          <w:rFonts w:hint="eastAsia" w:ascii="仿宋_GB2312" w:hAnsi="仿宋" w:eastAsia="仿宋_GB2312" w:cs="微软雅黑"/>
          <w:color w:val="333333"/>
          <w:sz w:val="32"/>
          <w:szCs w:val="32"/>
        </w:rPr>
        <w:t>施工单位黑龙江省乾成建筑装饰工程有限公司</w:t>
      </w:r>
      <w:r>
        <w:rPr>
          <w:rFonts w:hint="eastAsia" w:ascii="仿宋_GB2312" w:hAnsi="楷体" w:eastAsia="仿宋_GB2312" w:cs="微软雅黑"/>
          <w:color w:val="333333"/>
          <w:sz w:val="32"/>
          <w:szCs w:val="32"/>
        </w:rPr>
        <w:t>未按相关法律对从业人员进行安全教育培训；没有安全操作规程；对施工现场缺乏安全管理，没有实施事故防范措施，未能及时消除事故隐患</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4"/>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w:t>
      </w:r>
    </w:p>
    <w:p>
      <w:pPr>
        <w:pStyle w:val="10"/>
        <w:widowControl/>
        <w:spacing w:beforeAutospacing="0" w:afterAutospacing="0" w:line="560" w:lineRule="exact"/>
        <w:ind w:firstLine="420"/>
        <w:contextualSpacing/>
        <w:jc w:val="both"/>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2</w:t>
      </w:r>
      <w:r>
        <w:rPr>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工程发包单位</w:t>
      </w:r>
      <w:r>
        <w:rPr>
          <w:rFonts w:hint="eastAsia" w:ascii="仿宋_GB2312" w:hAnsi="仿宋" w:eastAsia="仿宋_GB2312" w:cs="微软雅黑"/>
          <w:color w:val="333333"/>
          <w:sz w:val="32"/>
          <w:szCs w:val="32"/>
        </w:rPr>
        <w:t>黑龙江省盛欣源医药有限责任公司未与承包单位黑龙江省乾成建筑装饰工程有限公司签订专门的安全生产管理协议，未在承包合同中明确各自的安全生产管理职责。</w:t>
      </w:r>
    </w:p>
    <w:p>
      <w:pPr>
        <w:pStyle w:val="10"/>
        <w:widowControl/>
        <w:spacing w:beforeAutospacing="0" w:afterAutospacing="0" w:line="560" w:lineRule="exact"/>
        <w:ind w:firstLine="640" w:firstLineChars="200"/>
        <w:contextualSpacing/>
        <w:jc w:val="both"/>
        <w:rPr>
          <w:rFonts w:ascii="黑体" w:hAnsi="黑体" w:eastAsia="黑体" w:cs="微软雅黑"/>
          <w:sz w:val="32"/>
          <w:szCs w:val="32"/>
        </w:rPr>
      </w:pPr>
      <w:r>
        <w:rPr>
          <w:rFonts w:hint="eastAsia" w:ascii="黑体" w:hAnsi="黑体" w:eastAsia="黑体" w:cs="微软雅黑"/>
          <w:color w:val="333333"/>
          <w:sz w:val="32"/>
          <w:szCs w:val="32"/>
        </w:rPr>
        <w:t>四、有关责任单位存在的主要问题</w:t>
      </w:r>
    </w:p>
    <w:p>
      <w:pPr>
        <w:pStyle w:val="10"/>
        <w:widowControl/>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黑龙江省乾成建筑装饰工程有限公司缺少安全管理人员，企业主体责任落实不到位，忽视安全生产工作，未建立或健全企业各项安全管理制度和操作规程，未严格履行《安全生产法》中生产经营单位及其主要负责人的有关安全生产的义务，</w:t>
      </w:r>
      <w:r>
        <w:rPr>
          <w:rFonts w:hint="eastAsia" w:ascii="仿宋_GB2312" w:hAnsi="仿宋" w:eastAsia="仿宋_GB2312" w:cs="仿宋_GB2312"/>
          <w:color w:val="333333"/>
          <w:sz w:val="32"/>
          <w:szCs w:val="32"/>
        </w:rPr>
        <w:t>导致事故发生，</w:t>
      </w:r>
      <w:r>
        <w:rPr>
          <w:rFonts w:hint="eastAsia" w:ascii="仿宋_GB2312" w:hAnsi="仿宋" w:eastAsia="仿宋_GB2312" w:cs="微软雅黑"/>
          <w:color w:val="333333"/>
          <w:sz w:val="32"/>
          <w:szCs w:val="32"/>
        </w:rPr>
        <w:t>黑龙江省乾成建筑装饰工程有限公司</w:t>
      </w:r>
      <w:r>
        <w:rPr>
          <w:rFonts w:hint="eastAsia" w:ascii="仿宋_GB2312" w:hAnsi="仿宋" w:eastAsia="仿宋_GB2312" w:cs="仿宋_GB2312"/>
          <w:color w:val="333333"/>
          <w:sz w:val="32"/>
          <w:szCs w:val="32"/>
        </w:rPr>
        <w:t>是该起事故的责任单位。</w:t>
      </w:r>
    </w:p>
    <w:p>
      <w:pPr>
        <w:pStyle w:val="10"/>
        <w:widowControl/>
        <w:spacing w:beforeAutospacing="0" w:afterAutospacing="0" w:line="560" w:lineRule="exact"/>
        <w:ind w:firstLine="640" w:firstLineChars="200"/>
        <w:contextualSpacing/>
        <w:jc w:val="both"/>
        <w:rPr>
          <w:rFonts w:ascii="黑体" w:hAnsi="黑体" w:eastAsia="黑体" w:cs="微软雅黑"/>
          <w:sz w:val="32"/>
          <w:szCs w:val="32"/>
        </w:rPr>
      </w:pPr>
      <w:r>
        <w:rPr>
          <w:rFonts w:hint="eastAsia" w:ascii="黑体" w:hAnsi="黑体" w:eastAsia="黑体" w:cs="微软雅黑"/>
          <w:color w:val="333333"/>
          <w:sz w:val="32"/>
          <w:szCs w:val="32"/>
        </w:rPr>
        <w:t>五、对有关责任人员和责任单位的处理建议</w:t>
      </w:r>
    </w:p>
    <w:p>
      <w:pPr>
        <w:pStyle w:val="10"/>
        <w:widowControl/>
        <w:spacing w:beforeAutospacing="0" w:afterAutospacing="0" w:line="560" w:lineRule="exact"/>
        <w:ind w:firstLine="645"/>
        <w:contextualSpacing/>
        <w:jc w:val="both"/>
        <w:rPr>
          <w:rFonts w:ascii="楷体" w:hAnsi="楷体" w:eastAsia="楷体" w:cs="微软雅黑"/>
          <w:color w:val="333333"/>
          <w:sz w:val="32"/>
          <w:szCs w:val="32"/>
        </w:rPr>
      </w:pPr>
      <w:r>
        <w:rPr>
          <w:rFonts w:hint="eastAsia" w:ascii="楷体" w:hAnsi="楷体" w:eastAsia="楷体" w:cs="微软雅黑"/>
          <w:color w:val="333333"/>
          <w:sz w:val="32"/>
          <w:szCs w:val="32"/>
        </w:rPr>
        <w:t>（一）对事故责任单位的处理建议</w:t>
      </w:r>
    </w:p>
    <w:p>
      <w:pPr>
        <w:pStyle w:val="10"/>
        <w:widowControl/>
        <w:spacing w:beforeAutospacing="0" w:afterAutospacing="0" w:line="560" w:lineRule="exact"/>
        <w:ind w:firstLine="645"/>
        <w:contextualSpacing/>
        <w:jc w:val="both"/>
        <w:rPr>
          <w:rFonts w:ascii="仿宋_GB2312" w:hAnsi="楷体" w:eastAsia="仿宋_GB2312" w:cs="微软雅黑"/>
          <w:color w:val="333333"/>
          <w:sz w:val="32"/>
          <w:szCs w:val="32"/>
        </w:rPr>
      </w:pPr>
      <w:r>
        <w:rPr>
          <w:rFonts w:hint="eastAsia" w:ascii="仿宋_GB2312" w:hAnsi="仿宋" w:eastAsia="仿宋_GB2312" w:cs="微软雅黑"/>
          <w:color w:val="333333"/>
          <w:sz w:val="32"/>
          <w:szCs w:val="32"/>
        </w:rPr>
        <w:t>1</w:t>
      </w:r>
      <w:r>
        <w:rPr>
          <w:rFonts w:ascii="仿宋_GB2312" w:hAnsi="仿宋" w:eastAsia="仿宋_GB2312" w:cs="微软雅黑"/>
          <w:color w:val="333333"/>
          <w:sz w:val="32"/>
          <w:szCs w:val="32"/>
        </w:rPr>
        <w:t>.</w:t>
      </w:r>
      <w:r>
        <w:rPr>
          <w:rFonts w:hint="eastAsia" w:ascii="仿宋_GB2312" w:hAnsi="仿宋" w:eastAsia="仿宋_GB2312" w:cs="微软雅黑"/>
          <w:color w:val="333333"/>
          <w:sz w:val="32"/>
          <w:szCs w:val="32"/>
        </w:rPr>
        <w:t>黑龙江省乾成建筑装饰工程有限公司</w:t>
      </w:r>
      <w:r>
        <w:rPr>
          <w:rFonts w:hint="eastAsia" w:ascii="仿宋_GB2312" w:hAnsi="楷体" w:eastAsia="仿宋_GB2312" w:cs="微软雅黑"/>
          <w:color w:val="333333"/>
          <w:sz w:val="32"/>
          <w:szCs w:val="32"/>
        </w:rPr>
        <w:t>，不具备《中华人民共和国安全生产法》和有关法律、行政法规和国家标准或者行业标准规定的安全生产条件；未保证全员安全生产责任制的落实；未保证安全生产条件所必需的资金投入；未设置安全生产管理机构或者配备安全生产管理人员；未对从业人员进行安全生产教育和培训并建立安全生产教育和培训档案；特种作业人员未按照国家有关规定经专门的安全作业培训，取得相应资格即上岗作业；未建立并落实生产安全事故隐患排查治理制度，未及时发现并消除事故隐患</w:t>
      </w:r>
      <w:r>
        <w:rPr>
          <w:rFonts w:hint="eastAsia" w:ascii="仿宋_GB2312" w:hAnsi="仿宋" w:eastAsia="仿宋_GB2312" w:cs="仿宋_GB2312"/>
          <w:color w:val="333333"/>
          <w:sz w:val="32"/>
          <w:szCs w:val="32"/>
        </w:rPr>
        <w:t>；</w:t>
      </w:r>
      <w:r>
        <w:rPr>
          <w:rFonts w:hint="eastAsia" w:ascii="仿宋_GB2312" w:hAnsi="楷体" w:eastAsia="仿宋_GB2312" w:cs="微软雅黑"/>
          <w:color w:val="333333"/>
          <w:sz w:val="32"/>
          <w:szCs w:val="32"/>
        </w:rPr>
        <w:t>未</w:t>
      </w:r>
      <w:r>
        <w:rPr>
          <w:rFonts w:hint="eastAsia" w:ascii="仿宋_GB2312" w:hAnsi="仿宋" w:eastAsia="仿宋_GB2312" w:cs="微软雅黑"/>
          <w:color w:val="333333"/>
          <w:sz w:val="32"/>
          <w:szCs w:val="32"/>
        </w:rPr>
        <w:t>为从业人员提供符合国家标准或者行业标准的劳动防护用品</w:t>
      </w:r>
      <w:r>
        <w:rPr>
          <w:rFonts w:hint="eastAsia" w:ascii="仿宋_GB2312" w:hAnsi="楷体" w:eastAsia="仿宋_GB2312" w:cs="微软雅黑"/>
          <w:color w:val="333333"/>
          <w:sz w:val="32"/>
          <w:szCs w:val="32"/>
        </w:rPr>
        <w:t>（安全带）</w:t>
      </w:r>
      <w:r>
        <w:rPr>
          <w:rFonts w:hint="eastAsia" w:ascii="仿宋_GB2312" w:hAnsi="仿宋" w:eastAsia="仿宋_GB2312" w:cs="微软雅黑"/>
          <w:color w:val="333333"/>
          <w:sz w:val="32"/>
          <w:szCs w:val="32"/>
        </w:rPr>
        <w:t>，并监督、教育从业人员按照使用规则佩戴、使用</w:t>
      </w:r>
      <w:r>
        <w:rPr>
          <w:rFonts w:hint="eastAsia" w:ascii="仿宋_GB2312" w:hAnsi="楷体" w:eastAsia="仿宋_GB2312" w:cs="微软雅黑"/>
          <w:color w:val="333333"/>
          <w:sz w:val="32"/>
          <w:szCs w:val="32"/>
        </w:rPr>
        <w:t>，是该起事故的责任单位。以上行为违反了《中华人民共和国安全生产法》第二十条</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5"/>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、第二十二条</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6"/>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、第二十三条</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7"/>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、第二十四条</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8"/>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、第二十八条第一款、第四款</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9"/>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、第三十条</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10"/>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、第四十一条第二款</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11"/>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、第四十五条</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12"/>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之规定，建议道里区应急局依据《中华人民共和国安全生产法》第一百一十四条第一项</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13"/>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之规定对</w:t>
      </w:r>
      <w:r>
        <w:rPr>
          <w:rFonts w:hint="eastAsia" w:ascii="仿宋_GB2312" w:hAnsi="仿宋" w:eastAsia="仿宋_GB2312" w:cs="微软雅黑"/>
          <w:color w:val="333333"/>
          <w:sz w:val="32"/>
          <w:szCs w:val="32"/>
        </w:rPr>
        <w:t>黑龙江省乾成建筑装饰工程有限公司</w:t>
      </w:r>
      <w:r>
        <w:rPr>
          <w:rFonts w:hint="eastAsia" w:ascii="仿宋_GB2312" w:hAnsi="楷体" w:eastAsia="仿宋_GB2312" w:cs="微软雅黑"/>
          <w:color w:val="333333"/>
          <w:sz w:val="32"/>
          <w:szCs w:val="32"/>
        </w:rPr>
        <w:t>给予处罚。</w:t>
      </w:r>
    </w:p>
    <w:p>
      <w:pPr>
        <w:pStyle w:val="10"/>
        <w:widowControl/>
        <w:spacing w:beforeAutospacing="0" w:afterAutospacing="0" w:line="560" w:lineRule="exact"/>
        <w:ind w:firstLine="645"/>
        <w:contextualSpacing/>
        <w:jc w:val="both"/>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2</w:t>
      </w:r>
      <w:r>
        <w:rPr>
          <w:rFonts w:ascii="仿宋_GB2312" w:hAnsi="楷体" w:eastAsia="仿宋_GB2312" w:cs="微软雅黑"/>
          <w:color w:val="333333"/>
          <w:sz w:val="32"/>
          <w:szCs w:val="32"/>
        </w:rPr>
        <w:t>.</w:t>
      </w:r>
      <w:r>
        <w:rPr>
          <w:rFonts w:hint="eastAsia" w:ascii="仿宋_GB2312" w:hAnsi="仿宋" w:eastAsia="仿宋_GB2312" w:cs="微软雅黑"/>
          <w:color w:val="333333"/>
          <w:sz w:val="32"/>
          <w:szCs w:val="32"/>
        </w:rPr>
        <w:t xml:space="preserve"> 黑龙江省盛欣源医药有限责任公司未与承包单位黑龙江省乾成建筑装饰工程有限公司签订专门的安全生产管理协议，未在承包合同中明确各自的安全生产管理职责。以上行为违反了</w:t>
      </w:r>
      <w:r>
        <w:rPr>
          <w:rFonts w:hint="eastAsia" w:ascii="仿宋_GB2312" w:hAnsi="楷体" w:eastAsia="仿宋_GB2312" w:cs="微软雅黑"/>
          <w:color w:val="333333"/>
          <w:sz w:val="32"/>
          <w:szCs w:val="32"/>
        </w:rPr>
        <w:t>《中华人民共和国安全生产法》第四十九条第二款</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14"/>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之规定，建议道里区应急局依据《中华人民共和国安全生产法》第一百零三条第二款</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15"/>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之规定对</w:t>
      </w:r>
      <w:r>
        <w:rPr>
          <w:rFonts w:hint="eastAsia" w:ascii="仿宋_GB2312" w:hAnsi="仿宋" w:eastAsia="仿宋_GB2312" w:cs="微软雅黑"/>
          <w:color w:val="333333"/>
          <w:sz w:val="32"/>
          <w:szCs w:val="32"/>
        </w:rPr>
        <w:t>黑龙江省盛欣源医药有限责任公司给予处罚。</w:t>
      </w:r>
    </w:p>
    <w:p>
      <w:pPr>
        <w:pStyle w:val="10"/>
        <w:widowControl/>
        <w:spacing w:beforeAutospacing="0" w:afterAutospacing="0" w:line="560" w:lineRule="exact"/>
        <w:ind w:firstLine="645"/>
        <w:contextualSpacing/>
        <w:jc w:val="both"/>
        <w:rPr>
          <w:rFonts w:ascii="楷体" w:hAnsi="楷体" w:eastAsia="楷体" w:cs="微软雅黑"/>
          <w:color w:val="333333"/>
          <w:sz w:val="32"/>
          <w:szCs w:val="32"/>
        </w:rPr>
      </w:pPr>
      <w:r>
        <w:rPr>
          <w:rFonts w:hint="eastAsia" w:ascii="楷体" w:hAnsi="楷体" w:eastAsia="楷体" w:cs="微软雅黑"/>
          <w:color w:val="333333"/>
          <w:sz w:val="32"/>
          <w:szCs w:val="32"/>
        </w:rPr>
        <w:t>（二）对事故有关责任人员的处罚建议</w:t>
      </w:r>
    </w:p>
    <w:p>
      <w:pPr>
        <w:pStyle w:val="10"/>
        <w:widowControl/>
        <w:spacing w:beforeAutospacing="0" w:afterAutospacing="0" w:line="560" w:lineRule="exact"/>
        <w:ind w:firstLine="645"/>
        <w:contextualSpacing/>
        <w:jc w:val="both"/>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1.胡铁，男，群众，</w:t>
      </w:r>
      <w:r>
        <w:rPr>
          <w:rFonts w:hint="eastAsia" w:ascii="仿宋_GB2312" w:hAnsi="仿宋" w:eastAsia="仿宋_GB2312" w:cs="微软雅黑"/>
          <w:color w:val="333333"/>
          <w:sz w:val="32"/>
          <w:szCs w:val="32"/>
        </w:rPr>
        <w:t>黑龙江省乾成建筑装饰工程有限公司临时雇佣电焊工</w:t>
      </w:r>
      <w:r>
        <w:rPr>
          <w:rFonts w:hint="eastAsia" w:ascii="仿宋_GB2312" w:hAnsi="楷体" w:eastAsia="仿宋_GB2312" w:cs="微软雅黑"/>
          <w:color w:val="333333"/>
          <w:sz w:val="32"/>
          <w:szCs w:val="32"/>
        </w:rPr>
        <w:t>，负责升降机骨架焊接。掌握安全生产知识不够，事故预防能力不足；忽视安全，未服从管理，未佩戴和使用安全带；对该起事故的发生负有主要责任。鉴于其本人已死亡，建议免于追究其相关责任。</w:t>
      </w:r>
    </w:p>
    <w:p>
      <w:pPr>
        <w:pStyle w:val="10"/>
        <w:widowControl/>
        <w:spacing w:line="560" w:lineRule="exact"/>
        <w:ind w:firstLine="645"/>
        <w:contextualSpacing/>
        <w:jc w:val="both"/>
        <w:rPr>
          <w:rFonts w:hint="default" w:ascii="仿宋_GB2312" w:hAnsi="仿宋" w:eastAsia="仿宋_GB2312" w:cs="微软雅黑"/>
          <w:color w:val="333333"/>
          <w:sz w:val="32"/>
          <w:szCs w:val="32"/>
          <w:lang w:val="en-US" w:eastAsia="zh-CN"/>
        </w:rPr>
      </w:pPr>
      <w:r>
        <w:rPr>
          <w:rFonts w:hint="eastAsia" w:ascii="仿宋_GB2312" w:hAnsi="楷体" w:eastAsia="仿宋_GB2312" w:cs="微软雅黑"/>
          <w:color w:val="333333"/>
          <w:sz w:val="32"/>
          <w:szCs w:val="32"/>
        </w:rPr>
        <w:t>2.杜志龙，男，群众，</w:t>
      </w:r>
      <w:r>
        <w:rPr>
          <w:rFonts w:hint="eastAsia" w:ascii="仿宋_GB2312" w:hAnsi="仿宋" w:eastAsia="仿宋_GB2312" w:cs="微软雅黑"/>
          <w:color w:val="333333"/>
          <w:sz w:val="32"/>
          <w:szCs w:val="32"/>
        </w:rPr>
        <w:t>黑龙江省乾成建筑装饰工程有限公司主要负责人，未履行主要负责人对本单位安全生产工作负有的相关职责：未建立并落实本单位全员安全生产责任制，加强安全生产标准化建设；未组织制定并实施本单位安全生产规章制度和操作规程；未组织制定并实施本单位安全生产教育和培训计划；未保证本单位安全生产投入的有效实施；未组织建立并落实安全风险分级管控和隐患排查治理双重预防工作机制，督促、检查本单位的安全生产工作，及时消除生产安全事故隐患。</w:t>
      </w:r>
      <w:r>
        <w:rPr>
          <w:rFonts w:hint="eastAsia" w:ascii="仿宋_GB2312" w:hAnsi="楷体" w:eastAsia="仿宋_GB2312" w:cs="微软雅黑"/>
          <w:color w:val="333333"/>
          <w:sz w:val="32"/>
          <w:szCs w:val="32"/>
        </w:rPr>
        <w:t>对此起事故的发生负有管理责任。以上行为违反了《中华人民共和国安全生产法》第二十一条</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16"/>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之规定，建议道里区应急管理局依据《中华人民共和国安全生产法》第九十五条对其予以处罚。鉴于死者胡铁是在住院治疗2</w:t>
      </w:r>
      <w:r>
        <w:rPr>
          <w:rFonts w:ascii="仿宋_GB2312" w:hAnsi="楷体" w:eastAsia="仿宋_GB2312" w:cs="微软雅黑"/>
          <w:color w:val="333333"/>
          <w:sz w:val="32"/>
          <w:szCs w:val="32"/>
        </w:rPr>
        <w:t>9</w:t>
      </w:r>
      <w:r>
        <w:rPr>
          <w:rFonts w:hint="eastAsia" w:ascii="仿宋_GB2312" w:hAnsi="楷体" w:eastAsia="仿宋_GB2312" w:cs="微软雅黑"/>
          <w:color w:val="333333"/>
          <w:sz w:val="32"/>
          <w:szCs w:val="32"/>
        </w:rPr>
        <w:t>天后死亡且遗体尚未进行法医学检验，无法确定高坠事故对胡铁死亡的参与度，无法判断该起事故与胡铁死亡的因果关系。</w:t>
      </w:r>
    </w:p>
    <w:p>
      <w:pPr>
        <w:pStyle w:val="10"/>
        <w:widowControl/>
        <w:spacing w:beforeAutospacing="0" w:afterAutospacing="0" w:line="560" w:lineRule="exact"/>
        <w:ind w:firstLine="645"/>
        <w:contextualSpacing/>
        <w:jc w:val="both"/>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3</w:t>
      </w:r>
      <w:r>
        <w:rPr>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张峰，男，群众，黑龙江省盛欣源医药有限责任公司主要负责人，</w:t>
      </w:r>
      <w:r>
        <w:rPr>
          <w:rFonts w:hint="eastAsia" w:ascii="仿宋_GB2312" w:hAnsi="仿宋" w:eastAsia="仿宋_GB2312" w:cs="微软雅黑"/>
          <w:color w:val="333333"/>
          <w:sz w:val="32"/>
          <w:szCs w:val="32"/>
        </w:rPr>
        <w:t>未与升降机安装承包单位黑龙江省乾成建筑装饰工程有限公司签订专门的安全生产管理协议，未在承包合同中明确各自的安全生产管理职责。以上行为违反了</w:t>
      </w:r>
      <w:r>
        <w:rPr>
          <w:rFonts w:hint="eastAsia" w:ascii="仿宋_GB2312" w:hAnsi="楷体" w:eastAsia="仿宋_GB2312" w:cs="微软雅黑"/>
          <w:color w:val="333333"/>
          <w:sz w:val="32"/>
          <w:szCs w:val="32"/>
        </w:rPr>
        <w:t>《中华人民共和国安全生产法》第四十九条第二款之规定，建议道里区应急局依据《中华人民共和国安全生产法》第一百零三条第二款之规定对其</w:t>
      </w:r>
      <w:r>
        <w:rPr>
          <w:rFonts w:hint="eastAsia" w:ascii="仿宋_GB2312" w:hAnsi="仿宋" w:eastAsia="仿宋_GB2312" w:cs="微软雅黑"/>
          <w:color w:val="333333"/>
          <w:sz w:val="32"/>
          <w:szCs w:val="32"/>
        </w:rPr>
        <w:t>给予处罚。</w:t>
      </w:r>
    </w:p>
    <w:p>
      <w:pPr>
        <w:spacing w:line="560" w:lineRule="exact"/>
        <w:ind w:firstLine="640" w:firstLineChars="200"/>
        <w:contextualSpacing/>
        <w:jc w:val="both"/>
        <w:rPr>
          <w:rFonts w:ascii="黑体" w:hAnsi="黑体" w:eastAsia="黑体" w:cs="微软雅黑"/>
          <w:color w:val="333333"/>
          <w:sz w:val="32"/>
          <w:szCs w:val="32"/>
        </w:rPr>
      </w:pPr>
      <w:r>
        <w:rPr>
          <w:rFonts w:hint="eastAsia" w:ascii="黑体" w:hAnsi="黑体" w:eastAsia="黑体" w:cs="微软雅黑"/>
          <w:color w:val="333333"/>
          <w:sz w:val="32"/>
          <w:szCs w:val="32"/>
        </w:rPr>
        <w:t>六、事故主要教训</w:t>
      </w:r>
    </w:p>
    <w:p>
      <w:pPr>
        <w:spacing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本起事故的责任单位黑龙江省乾成建筑装饰工程有限公司由于多年来经营不善，公司初建时的工作人员及公司制定的安全生产相关制度、规程大量流失，导致该单位不具备相应的安全生产条件。由于该单位与前职工的经济纠纷，导致营业执照无法注销。在此条件下，公司主要负责人仍以公司名义在外承揽安装工程，是诱发本起事故的原因。</w:t>
      </w:r>
    </w:p>
    <w:p>
      <w:pPr>
        <w:spacing w:line="560" w:lineRule="exact"/>
        <w:ind w:firstLine="640" w:firstLineChars="200"/>
        <w:contextualSpacing/>
        <w:jc w:val="both"/>
        <w:rPr>
          <w:rFonts w:ascii="黑体" w:hAnsi="黑体" w:eastAsia="黑体" w:cs="微软雅黑"/>
          <w:sz w:val="32"/>
          <w:szCs w:val="32"/>
        </w:rPr>
      </w:pPr>
      <w:r>
        <w:rPr>
          <w:rFonts w:hint="eastAsia" w:ascii="黑体" w:hAnsi="黑体" w:eastAsia="黑体" w:cs="微软雅黑"/>
          <w:color w:val="333333"/>
          <w:sz w:val="32"/>
          <w:szCs w:val="32"/>
        </w:rPr>
        <w:t>七、事故整改和防范措施</w:t>
      </w:r>
    </w:p>
    <w:p>
      <w:pPr>
        <w:pStyle w:val="10"/>
        <w:widowControl/>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1</w:t>
      </w:r>
      <w:r>
        <w:rPr>
          <w:rFonts w:ascii="仿宋_GB2312" w:hAnsi="仿宋" w:eastAsia="仿宋_GB2312" w:cs="微软雅黑"/>
          <w:color w:val="333333"/>
          <w:sz w:val="32"/>
          <w:szCs w:val="32"/>
        </w:rPr>
        <w:t>.</w:t>
      </w:r>
      <w:r>
        <w:rPr>
          <w:rFonts w:hint="eastAsia" w:ascii="仿宋_GB2312" w:hAnsi="仿宋" w:eastAsia="仿宋_GB2312" w:cs="微软雅黑"/>
          <w:color w:val="333333"/>
          <w:sz w:val="32"/>
          <w:szCs w:val="32"/>
        </w:rPr>
        <w:t>黑龙江省乾成建筑装饰工程有限公司要深刻汲取事故教训。严格按照《中华人民共和国安全生产法》和有关法律、行政法规和国家标准或者行业标准规定的内容完善安全生产条件。建立全员安全生产责任制并保证落实；保证安全生产条件所必需的资金投入；设置安全生产管理机构或者配备安全生产管理人员；对从业人员进行安全生产教育和培训并建立安全生产教育和培训档案；特种作业人员应当按照国家有关规定经专门的安全作业培训，取得相应资格后方可上岗作业；建立并落实生产安全事故隐患排查治理制度，及时发现并消除事故隐患；为从业人员提供符合国家标准或者行业标准的劳动防护用品，并监督、教育从业人员按照使用规则佩戴、使用。</w:t>
      </w:r>
    </w:p>
    <w:p>
      <w:pPr>
        <w:pStyle w:val="10"/>
        <w:widowControl/>
        <w:spacing w:beforeAutospacing="0" w:afterAutospacing="0" w:line="560" w:lineRule="exact"/>
        <w:ind w:firstLine="640" w:firstLineChars="200"/>
        <w:contextualSpacing/>
        <w:jc w:val="both"/>
        <w:rPr>
          <w:rFonts w:ascii="仿宋_GB2312" w:hAnsi="仿宋" w:eastAsia="仿宋_GB2312" w:cs="微软雅黑"/>
          <w:color w:val="333333"/>
          <w:sz w:val="32"/>
          <w:szCs w:val="32"/>
        </w:rPr>
      </w:pPr>
      <w:r>
        <w:rPr>
          <w:rFonts w:ascii="仿宋_GB2312" w:hAnsi="仿宋" w:eastAsia="仿宋_GB2312" w:cs="微软雅黑"/>
          <w:color w:val="333333"/>
          <w:sz w:val="32"/>
          <w:szCs w:val="32"/>
        </w:rPr>
        <w:t>2.</w:t>
      </w:r>
      <w:r>
        <w:rPr>
          <w:rFonts w:hint="eastAsia" w:ascii="仿宋_GB2312" w:hAnsi="楷体" w:eastAsia="仿宋_GB2312" w:cs="微软雅黑"/>
          <w:color w:val="333333"/>
          <w:sz w:val="32"/>
          <w:szCs w:val="32"/>
        </w:rPr>
        <w:t>黑龙江省盛欣源医药有限责任公司要吸取事故教训，举一反三，完善本公司关于对外发包或者出租生产经营项目、场所、设备等相关内容的</w:t>
      </w:r>
      <w:r>
        <w:rPr>
          <w:rFonts w:hint="eastAsia" w:ascii="仿宋_GB2312" w:hAnsi="仿宋" w:eastAsia="仿宋_GB2312" w:cs="微软雅黑"/>
          <w:color w:val="333333"/>
          <w:sz w:val="32"/>
          <w:szCs w:val="32"/>
        </w:rPr>
        <w:t>安全生产管理职责，并切实做到对承包单位的安全生产工作进行统一协调、管理。</w:t>
      </w:r>
    </w:p>
    <w:p>
      <w:pPr>
        <w:spacing w:line="560" w:lineRule="exact"/>
        <w:ind w:right="320" w:firstLine="640" w:firstLineChars="200"/>
        <w:contextualSpacing/>
        <w:jc w:val="both"/>
        <w:rPr>
          <w:rFonts w:ascii="仿宋" w:hAnsi="仿宋" w:eastAsia="仿宋" w:cs="仿宋_GB2312"/>
          <w:sz w:val="32"/>
          <w:szCs w:val="32"/>
        </w:rPr>
      </w:pPr>
      <w:r>
        <w:rPr>
          <w:rFonts w:ascii="仿宋" w:hAnsi="仿宋" w:eastAsia="仿宋" w:cs="仿宋_GB2312"/>
          <w:sz w:val="32"/>
          <w:szCs w:val="32"/>
        </w:rPr>
        <w:t>3.</w:t>
      </w:r>
      <w:r>
        <w:rPr>
          <w:rFonts w:hint="eastAsia" w:ascii="仿宋" w:hAnsi="仿宋" w:eastAsia="仿宋" w:cs="仿宋_GB2312"/>
          <w:sz w:val="32"/>
          <w:szCs w:val="32"/>
        </w:rPr>
        <w:t>道里区新发镇政府，应加强对辖区各类企业安全生产巡查力度，加强对辖区内生产经营企业主体责任的宣教工作，及时检查排查并督促相关单位消除安全隐患，确保安全生产。</w:t>
      </w:r>
    </w:p>
    <w:p>
      <w:pPr>
        <w:spacing w:line="560" w:lineRule="exact"/>
        <w:ind w:right="320"/>
        <w:contextualSpacing/>
        <w:jc w:val="left"/>
        <w:rPr>
          <w:rFonts w:ascii="仿宋" w:hAnsi="仿宋" w:eastAsia="仿宋" w:cs="仿宋_GB2312"/>
          <w:strike/>
          <w:sz w:val="32"/>
          <w:szCs w:val="32"/>
        </w:rPr>
      </w:pPr>
    </w:p>
    <w:p>
      <w:pPr>
        <w:spacing w:line="560" w:lineRule="exact"/>
        <w:ind w:right="320"/>
        <w:contextualSpacing/>
        <w:jc w:val="left"/>
        <w:rPr>
          <w:rFonts w:ascii="仿宋" w:hAnsi="仿宋" w:eastAsia="仿宋" w:cs="仿宋_GB2312"/>
          <w:strike/>
          <w:sz w:val="32"/>
          <w:szCs w:val="32"/>
        </w:rPr>
      </w:pPr>
    </w:p>
    <w:p>
      <w:pPr>
        <w:spacing w:line="560" w:lineRule="exact"/>
        <w:ind w:right="320"/>
        <w:contextualSpacing/>
        <w:jc w:val="left"/>
        <w:rPr>
          <w:rFonts w:ascii="仿宋" w:hAnsi="仿宋" w:eastAsia="仿宋" w:cs="仿宋_GB2312"/>
          <w:strike/>
          <w:sz w:val="32"/>
          <w:szCs w:val="32"/>
        </w:rPr>
      </w:pPr>
    </w:p>
    <w:p>
      <w:pPr>
        <w:spacing w:line="560" w:lineRule="exact"/>
        <w:ind w:right="320"/>
        <w:contextualSpacing/>
        <w:jc w:val="left"/>
        <w:rPr>
          <w:rFonts w:hint="eastAsia" w:ascii="仿宋" w:hAnsi="仿宋" w:eastAsia="仿宋" w:cs="仿宋_GB2312"/>
          <w:strike/>
          <w:sz w:val="32"/>
          <w:szCs w:val="32"/>
        </w:rPr>
      </w:pPr>
    </w:p>
    <w:p>
      <w:pPr>
        <w:spacing w:line="560" w:lineRule="exact"/>
        <w:ind w:right="320" w:firstLine="4480" w:firstLineChars="1400"/>
        <w:contextualSpacing/>
        <w:jc w:val="left"/>
        <w:rPr>
          <w:rFonts w:ascii="仿宋" w:hAnsi="仿宋" w:eastAsia="仿宋" w:cs="仿宋_GB2312"/>
          <w:sz w:val="32"/>
          <w:szCs w:val="32"/>
        </w:rPr>
      </w:pPr>
      <w:r>
        <w:rPr>
          <w:rFonts w:hint="eastAsia" w:ascii="仿宋" w:hAnsi="仿宋" w:eastAsia="仿宋" w:cs="仿宋_GB2312"/>
          <w:sz w:val="32"/>
          <w:szCs w:val="32"/>
        </w:rPr>
        <w:t>道里区政府事故调查组</w:t>
      </w:r>
    </w:p>
    <w:p>
      <w:pPr>
        <w:spacing w:line="560" w:lineRule="exact"/>
        <w:ind w:right="320" w:firstLine="4960" w:firstLineChars="1550"/>
        <w:contextualSpacing/>
        <w:jc w:val="left"/>
        <w:rPr>
          <w:rFonts w:ascii="仿宋" w:hAnsi="仿宋" w:eastAsia="仿宋" w:cs="仿宋_GB2312"/>
          <w:sz w:val="32"/>
          <w:szCs w:val="32"/>
        </w:rPr>
      </w:pPr>
      <w:r>
        <w:rPr>
          <w:rFonts w:ascii="仿宋" w:hAnsi="仿宋" w:eastAsia="仿宋" w:cs="仿宋_GB2312"/>
          <w:sz w:val="32"/>
          <w:szCs w:val="32"/>
        </w:rPr>
        <w:t>2023年12月25日</w:t>
      </w:r>
    </w:p>
    <w:p>
      <w:pPr>
        <w:spacing w:line="560" w:lineRule="exact"/>
        <w:ind w:right="320" w:firstLine="4960" w:firstLineChars="1550"/>
        <w:contextualSpacing/>
        <w:jc w:val="left"/>
        <w:rPr>
          <w:rFonts w:ascii="仿宋" w:hAnsi="仿宋" w:eastAsia="仿宋" w:cs="仿宋_GB2312"/>
          <w:sz w:val="32"/>
          <w:szCs w:val="32"/>
        </w:rPr>
      </w:pPr>
    </w:p>
    <w:p>
      <w:pPr>
        <w:spacing w:line="560" w:lineRule="exact"/>
        <w:ind w:right="320" w:firstLine="4960" w:firstLineChars="1550"/>
        <w:contextualSpacing/>
        <w:jc w:val="left"/>
        <w:rPr>
          <w:rFonts w:ascii="仿宋" w:hAnsi="仿宋" w:eastAsia="仿宋" w:cs="仿宋_GB2312"/>
          <w:sz w:val="32"/>
          <w:szCs w:val="32"/>
        </w:rPr>
      </w:pPr>
    </w:p>
    <w:p>
      <w:pPr>
        <w:spacing w:line="560" w:lineRule="exact"/>
        <w:ind w:right="320" w:firstLine="4960" w:firstLineChars="1550"/>
        <w:contextualSpacing/>
        <w:jc w:val="left"/>
        <w:rPr>
          <w:rFonts w:ascii="仿宋" w:hAnsi="仿宋" w:eastAsia="仿宋" w:cs="仿宋_GB2312"/>
          <w:sz w:val="32"/>
          <w:szCs w:val="32"/>
        </w:rPr>
      </w:pPr>
    </w:p>
    <w:p>
      <w:pPr>
        <w:spacing w:line="560" w:lineRule="exact"/>
        <w:ind w:right="320" w:firstLine="640" w:firstLineChars="200"/>
        <w:contextualSpacing/>
        <w:jc w:val="left"/>
        <w:rPr>
          <w:rFonts w:ascii="仿宋" w:hAnsi="仿宋" w:eastAsia="仿宋" w:cs="仿宋_GB2312"/>
          <w:sz w:val="32"/>
          <w:szCs w:val="32"/>
        </w:rPr>
      </w:pPr>
    </w:p>
    <w:sectPr>
      <w:headerReference r:id="rId6" w:type="first"/>
      <w:footerReference r:id="rId9" w:type="first"/>
      <w:headerReference r:id="rId4" w:type="default"/>
      <w:footerReference r:id="rId7" w:type="default"/>
      <w:headerReference r:id="rId5" w:type="even"/>
      <w:footerReference r:id="rId8" w:type="even"/>
      <w:footnotePr>
        <w:numFmt w:val="decimal"/>
      </w:footnote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7"/>
      </w:rPr>
    </w:pPr>
    <w:r>
      <w:rPr>
        <w:rStyle w:val="17"/>
      </w:rPr>
      <w:fldChar w:fldCharType="begin"/>
    </w:r>
    <w:r>
      <w:rPr>
        <w:rStyle w:val="17"/>
      </w:rPr>
      <w:instrText xml:space="preserve">PAGE  </w:instrText>
    </w:r>
    <w:r>
      <w:rPr>
        <w:rStyle w:val="17"/>
      </w:rPr>
      <w:fldChar w:fldCharType="separate"/>
    </w:r>
    <w:r>
      <w:rPr>
        <w:rStyle w:val="17"/>
      </w:rPr>
      <w:t>16</w:t>
    </w:r>
    <w:r>
      <w:rPr>
        <w:rStyle w:val="17"/>
      </w:rP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4">
    <w:p>
      <w:r>
        <w:separator/>
      </w:r>
    </w:p>
  </w:footnote>
  <w:footnote w:type="continuationSeparator" w:id="35">
    <w:p>
      <w:r>
        <w:continuationSeparator/>
      </w:r>
    </w:p>
  </w:footnote>
  <w:footnote w:id="0">
    <w:p>
      <w:pPr>
        <w:pStyle w:val="9"/>
        <w:rPr>
          <w:rFonts w:ascii="宋体" w:hAnsi="宋体" w:cs="宋体"/>
        </w:rPr>
      </w:pPr>
      <w:r>
        <w:rPr>
          <w:rStyle w:val="19"/>
          <w:rFonts w:hint="eastAsia" w:ascii="宋体" w:hAnsi="宋体" w:cs="宋体"/>
        </w:rPr>
        <w:t>[</w:t>
      </w:r>
      <w:r>
        <w:rPr>
          <w:rStyle w:val="19"/>
          <w:rFonts w:hint="eastAsia" w:ascii="宋体" w:hAnsi="宋体" w:cs="宋体"/>
        </w:rPr>
        <w:footnoteRef/>
      </w:r>
      <w:r>
        <w:rPr>
          <w:rStyle w:val="19"/>
          <w:rFonts w:hint="eastAsia" w:ascii="宋体" w:hAnsi="宋体" w:cs="宋体"/>
        </w:rPr>
        <w:t>]</w:t>
      </w:r>
      <w:r>
        <w:rPr>
          <w:rFonts w:hint="eastAsia" w:ascii="宋体" w:hAnsi="宋体" w:cs="宋体"/>
        </w:rPr>
        <w:t>《生产安全事故报告和调查处理条例》第二十二条：事故调查组的组成应当遵循精简、效能的原则。根据事故的具体情况，事故调查组由有关人民政府、安全生产监督管理部门、负有安全生产监督管理职责的有关部门、监察机关、公安机关以及工会派人组成，并应当邀请人民检察院派人参加。事故调查组可以聘请有关专家参与调查。</w:t>
      </w:r>
    </w:p>
  </w:footnote>
  <w:footnote w:id="1">
    <w:p>
      <w:pPr>
        <w:pStyle w:val="9"/>
      </w:pPr>
      <w:r>
        <w:rPr>
          <w:rStyle w:val="19"/>
        </w:rPr>
        <w:t>[</w:t>
      </w:r>
      <w:r>
        <w:rPr>
          <w:rStyle w:val="19"/>
        </w:rPr>
        <w:footnoteRef/>
      </w:r>
      <w:r>
        <w:rPr>
          <w:rStyle w:val="19"/>
        </w:rPr>
        <w:t>]</w:t>
      </w:r>
      <w:r>
        <w:t xml:space="preserve"> </w:t>
      </w:r>
      <w:r>
        <w:rPr>
          <w:rFonts w:hint="eastAsia"/>
        </w:rPr>
        <w:t>《高处作业分级》GBT3608-2008</w:t>
      </w:r>
      <w:r>
        <w:t xml:space="preserve"> 3.1</w:t>
      </w:r>
      <w:r>
        <w:rPr>
          <w:rFonts w:hint="eastAsia"/>
        </w:rPr>
        <w:t>高处作业work at heights在距坠落高度基准面2 m或2m以上有可能坠落的高处进行的作业。</w:t>
      </w:r>
    </w:p>
  </w:footnote>
  <w:footnote w:id="2">
    <w:p>
      <w:pPr>
        <w:pStyle w:val="9"/>
      </w:pPr>
      <w:r>
        <w:rPr>
          <w:rStyle w:val="19"/>
        </w:rPr>
        <w:t>[</w:t>
      </w:r>
      <w:r>
        <w:rPr>
          <w:rStyle w:val="19"/>
        </w:rPr>
        <w:footnoteRef/>
      </w:r>
      <w:r>
        <w:rPr>
          <w:rStyle w:val="19"/>
        </w:rPr>
        <w:t>]</w:t>
      </w:r>
      <w:r>
        <w:t xml:space="preserve"> </w:t>
      </w:r>
      <w:r>
        <w:rPr>
          <w:rFonts w:hint="eastAsia"/>
        </w:rPr>
        <w:t>《企业职工伤亡事故调查分析规则》GB644</w:t>
      </w:r>
      <w:r>
        <w:t>1—</w:t>
      </w:r>
      <w:r>
        <w:rPr>
          <w:rFonts w:hint="eastAsia"/>
        </w:rPr>
        <w:t>1986：A.7 不安全行为：7.11 在必须使用个人防护用品用具的作业或场合中，忽视其使用。</w:t>
      </w:r>
    </w:p>
  </w:footnote>
  <w:footnote w:id="3">
    <w:p>
      <w:pPr>
        <w:pStyle w:val="9"/>
      </w:pPr>
      <w:r>
        <w:rPr>
          <w:rStyle w:val="19"/>
        </w:rPr>
        <w:t>[</w:t>
      </w:r>
      <w:r>
        <w:rPr>
          <w:rStyle w:val="19"/>
        </w:rPr>
        <w:footnoteRef/>
      </w:r>
      <w:r>
        <w:rPr>
          <w:rStyle w:val="19"/>
        </w:rPr>
        <w:t>]</w:t>
      </w:r>
      <w:r>
        <w:t xml:space="preserve"> </w:t>
      </w:r>
      <w:r>
        <w:rPr>
          <w:rFonts w:hint="eastAsia"/>
        </w:rPr>
        <w:t>《企业职工伤亡事故调查分析规则》GB644</w:t>
      </w:r>
      <w:r>
        <w:t>1—</w:t>
      </w:r>
      <w:r>
        <w:rPr>
          <w:rFonts w:hint="eastAsia"/>
        </w:rPr>
        <w:t>1986：A.7 不安全行为：7.03.1 临时使用不牢固的设施。</w:t>
      </w:r>
    </w:p>
  </w:footnote>
  <w:footnote w:id="4">
    <w:p>
      <w:pPr>
        <w:pStyle w:val="9"/>
      </w:pPr>
      <w:r>
        <w:rPr>
          <w:rStyle w:val="19"/>
        </w:rPr>
        <w:t>[</w:t>
      </w:r>
      <w:r>
        <w:rPr>
          <w:rStyle w:val="19"/>
        </w:rPr>
        <w:footnoteRef/>
      </w:r>
      <w:r>
        <w:rPr>
          <w:rStyle w:val="19"/>
        </w:rPr>
        <w:t>]</w:t>
      </w:r>
      <w:r>
        <w:t xml:space="preserve"> </w:t>
      </w:r>
      <w:r>
        <w:rPr>
          <w:rFonts w:hint="eastAsia"/>
        </w:rPr>
        <w:t>《企业职工伤亡事故调查分析规则》GB6442</w:t>
      </w:r>
      <w:r>
        <w:t>—</w:t>
      </w:r>
      <w:r>
        <w:rPr>
          <w:rFonts w:hint="eastAsia"/>
        </w:rPr>
        <w:t>1986：3.2.2属下列情况者为间接原因：b.培训教育不够，未经培训，缺乏或不懂安全操作技术和知识；d.对现场工作缺乏检查或指导错误；e.没有安全操作规程或不健全；f.没有或不认真实施事故防范措施，对事故隐患整改不力；</w:t>
      </w:r>
    </w:p>
  </w:footnote>
  <w:footnote w:id="5">
    <w:p>
      <w:pPr>
        <w:pStyle w:val="9"/>
      </w:pPr>
      <w:r>
        <w:rPr>
          <w:rStyle w:val="19"/>
        </w:rPr>
        <w:t>[</w:t>
      </w:r>
      <w:r>
        <w:rPr>
          <w:rStyle w:val="19"/>
        </w:rPr>
        <w:footnoteRef/>
      </w:r>
      <w:r>
        <w:rPr>
          <w:rStyle w:val="19"/>
        </w:rPr>
        <w:t>]</w:t>
      </w:r>
      <w:r>
        <w:t xml:space="preserve"> </w:t>
      </w:r>
      <w:r>
        <w:rPr>
          <w:rFonts w:hint="eastAsia"/>
        </w:rPr>
        <w:t>《安全生产法》第二十条</w:t>
      </w:r>
      <w:r>
        <w:t> </w:t>
      </w:r>
      <w:r>
        <w:rPr>
          <w:rFonts w:hint="eastAsia"/>
        </w:rPr>
        <w:t>生产经营单位应当具备本法和有关法律、行政法规和国家标准或者行业标准规定的安全生产条件；不具备安全生产条件的，不得从事生产经营活动。</w:t>
      </w:r>
    </w:p>
  </w:footnote>
  <w:footnote w:id="6">
    <w:p>
      <w:pPr>
        <w:pStyle w:val="9"/>
      </w:pPr>
      <w:r>
        <w:rPr>
          <w:rStyle w:val="19"/>
        </w:rPr>
        <w:t>[</w:t>
      </w:r>
      <w:r>
        <w:rPr>
          <w:rStyle w:val="19"/>
        </w:rPr>
        <w:footnoteRef/>
      </w:r>
      <w:r>
        <w:rPr>
          <w:rStyle w:val="19"/>
        </w:rPr>
        <w:t>]</w:t>
      </w:r>
      <w:r>
        <w:t xml:space="preserve"> </w:t>
      </w:r>
      <w:r>
        <w:rPr>
          <w:rFonts w:hint="eastAsia"/>
        </w:rPr>
        <w:t>第二十二条</w:t>
      </w:r>
      <w:r>
        <w:t> </w:t>
      </w:r>
      <w:r>
        <w:rPr>
          <w:rFonts w:hint="eastAsia"/>
        </w:rPr>
        <w:t>生产经营单位的全员安全生产责任制应当明确各岗位的责任人员、责任范围和考核标准等内容。</w:t>
      </w:r>
    </w:p>
    <w:p>
      <w:pPr>
        <w:pStyle w:val="9"/>
        <w:rPr>
          <w:rFonts w:hint="eastAsia"/>
        </w:rPr>
      </w:pPr>
      <w:r>
        <w:rPr>
          <w:rFonts w:hint="eastAsia"/>
        </w:rPr>
        <w:t>生产经营单位应当建立相应的机制，加强对全员安全生产责任制落实情况的监督考核，保证全员安全生产责任制的落实。</w:t>
      </w:r>
    </w:p>
  </w:footnote>
  <w:footnote w:id="7">
    <w:p>
      <w:pPr>
        <w:pStyle w:val="9"/>
        <w:rPr>
          <w:rFonts w:hint="eastAsia"/>
        </w:rPr>
      </w:pPr>
      <w:r>
        <w:rPr>
          <w:rStyle w:val="19"/>
        </w:rPr>
        <w:t>[</w:t>
      </w:r>
      <w:r>
        <w:rPr>
          <w:rStyle w:val="19"/>
        </w:rPr>
        <w:footnoteRef/>
      </w:r>
      <w:r>
        <w:rPr>
          <w:rStyle w:val="19"/>
        </w:rPr>
        <w:t>]</w:t>
      </w:r>
      <w:r>
        <w:t xml:space="preserve"> </w:t>
      </w:r>
      <w:r>
        <w:rPr>
          <w:rFonts w:hint="eastAsia"/>
        </w:rPr>
        <w:t>《安全生产法》第二十三条 生产经营单位应当具备的安全生产条件所必需的资金投入，由生产经营单位的决策机构、主要负责人或者个人经营的投资人予以保证，并对由于安全生产所必需的资金投入不足导致的后果承担责任。</w:t>
      </w:r>
    </w:p>
    <w:p>
      <w:pPr>
        <w:pStyle w:val="9"/>
        <w:ind w:firstLine="360" w:firstLineChars="200"/>
        <w:rPr>
          <w:rFonts w:hint="eastAsia"/>
        </w:rPr>
      </w:pPr>
      <w:r>
        <w:rPr>
          <w:rFonts w:hint="eastAsia"/>
        </w:rPr>
        <w:t>有关生产经营单位应当按照规定提取和使用安全生产费用，专门用于改善安全生产条件。安全生产费用在成本中据实列支。安全生产费用提取、使用和监督管理的具体办法由国务院财政部门会同国务院应急管理部门征求国务院有关部门意见后制定。</w:t>
      </w:r>
    </w:p>
  </w:footnote>
  <w:footnote w:id="8">
    <w:p>
      <w:pPr>
        <w:pStyle w:val="9"/>
        <w:rPr>
          <w:rFonts w:hint="eastAsia"/>
        </w:rPr>
      </w:pPr>
      <w:r>
        <w:rPr>
          <w:rStyle w:val="19"/>
        </w:rPr>
        <w:t>[</w:t>
      </w:r>
      <w:r>
        <w:rPr>
          <w:rStyle w:val="19"/>
        </w:rPr>
        <w:footnoteRef/>
      </w:r>
      <w:r>
        <w:rPr>
          <w:rStyle w:val="19"/>
        </w:rPr>
        <w:t>]</w:t>
      </w:r>
      <w:r>
        <w:t xml:space="preserve"> </w:t>
      </w:r>
      <w:r>
        <w:rPr>
          <w:rFonts w:hint="eastAsia"/>
        </w:rPr>
        <w:t>《安全生产法》第二十四条</w:t>
      </w:r>
      <w:r>
        <w:t> </w:t>
      </w:r>
      <w:r>
        <w:rPr>
          <w:rFonts w:hint="eastAsia"/>
        </w:rPr>
        <w:t>矿山、金属冶炼、建筑施工、运输单位和危险物品的生产、经营、储存、装卸单位，应当设置安全生产管理机构或者配备专职安全生产管理人员。前款规定以外的其他生产经营单位，从业人员超过一百人的，应当设置安全生产管理机构或者配备专职安全生产管理人员；从业人员在一百人以下的，应当配备专职或者兼职的安全生产管理人员。</w:t>
      </w:r>
    </w:p>
  </w:footnote>
  <w:footnote w:id="9">
    <w:p>
      <w:pPr>
        <w:pStyle w:val="9"/>
        <w:rPr>
          <w:rFonts w:hint="eastAsia"/>
        </w:rPr>
      </w:pPr>
      <w:r>
        <w:rPr>
          <w:rStyle w:val="19"/>
        </w:rPr>
        <w:t>[</w:t>
      </w:r>
      <w:r>
        <w:rPr>
          <w:rStyle w:val="19"/>
        </w:rPr>
        <w:footnoteRef/>
      </w:r>
      <w:r>
        <w:rPr>
          <w:rStyle w:val="19"/>
        </w:rPr>
        <w:t>]</w:t>
      </w:r>
      <w:r>
        <w:t xml:space="preserve"> </w:t>
      </w:r>
      <w:r>
        <w:rPr>
          <w:rFonts w:hint="eastAsia"/>
        </w:rPr>
        <w:t>《安全生产法》第二十八条</w:t>
      </w:r>
      <w:r>
        <w:t> </w:t>
      </w:r>
      <w:r>
        <w:rPr>
          <w:rFonts w:hint="eastAsia"/>
        </w:rPr>
        <w:t>生产经营单位应当对从业人员进行安全生产教育和培训，保证从业人员具备必要的安全生产知识，熟悉有关的安全生产规章制度和安全操作规程，</w:t>
      </w:r>
      <w:r>
        <w:t xml:space="preserve"> </w:t>
      </w:r>
      <w:r>
        <w:rPr>
          <w:rFonts w:hint="eastAsia"/>
        </w:rPr>
        <w:t>掌握本岗位的安全操作技能，了解事故应急处理措施，知悉自身在安全生产方面的权利和义务。未经安全生产教育和培训合格的从业人员，不得上岗作业。</w:t>
      </w:r>
    </w:p>
    <w:p>
      <w:pPr>
        <w:pStyle w:val="9"/>
        <w:ind w:firstLine="360" w:firstLineChars="200"/>
        <w:rPr>
          <w:rFonts w:hint="eastAsia"/>
        </w:rPr>
      </w:pPr>
      <w:r>
        <w:rPr>
          <w:rFonts w:hint="eastAsia"/>
        </w:rPr>
        <w:t>生产经营单位应当建立安全生产教育和培训档案，如实记录安全生产教育和培训的时间、内容、参加人员以及考核结果等情况。</w:t>
      </w:r>
      <w:r>
        <w:t> </w:t>
      </w:r>
    </w:p>
  </w:footnote>
  <w:footnote w:id="10">
    <w:p>
      <w:pPr>
        <w:pStyle w:val="9"/>
        <w:rPr>
          <w:rFonts w:hint="eastAsia"/>
        </w:rPr>
      </w:pPr>
      <w:r>
        <w:rPr>
          <w:rStyle w:val="19"/>
        </w:rPr>
        <w:t>[</w:t>
      </w:r>
      <w:r>
        <w:rPr>
          <w:rStyle w:val="19"/>
        </w:rPr>
        <w:footnoteRef/>
      </w:r>
      <w:r>
        <w:rPr>
          <w:rStyle w:val="19"/>
        </w:rPr>
        <w:t>]</w:t>
      </w:r>
      <w:r>
        <w:t xml:space="preserve"> </w:t>
      </w:r>
      <w:r>
        <w:rPr>
          <w:rFonts w:hint="eastAsia"/>
        </w:rPr>
        <w:t>《安全生产法》第三十条</w:t>
      </w:r>
      <w:r>
        <w:t> </w:t>
      </w:r>
      <w:r>
        <w:rPr>
          <w:rFonts w:hint="eastAsia"/>
        </w:rPr>
        <w:t>生产经营单位的特种作业人员必须按照国家有关规定经专门的安全作业培训，取得相应资格，方可上岗作业。</w:t>
      </w:r>
    </w:p>
  </w:footnote>
  <w:footnote w:id="11">
    <w:p>
      <w:pPr>
        <w:pStyle w:val="9"/>
      </w:pPr>
      <w:r>
        <w:rPr>
          <w:rStyle w:val="19"/>
        </w:rPr>
        <w:t>[</w:t>
      </w:r>
      <w:r>
        <w:rPr>
          <w:rStyle w:val="19"/>
        </w:rPr>
        <w:footnoteRef/>
      </w:r>
      <w:r>
        <w:rPr>
          <w:rStyle w:val="19"/>
        </w:rPr>
        <w:t>]</w:t>
      </w:r>
      <w:r>
        <w:rPr>
          <w:rFonts w:hint="eastAsia"/>
        </w:rPr>
        <w:t>《安全生产法》第四十一条第二款：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footnote>
  <w:footnote w:id="12">
    <w:p>
      <w:pPr>
        <w:pStyle w:val="9"/>
        <w:rPr>
          <w:rFonts w:hint="eastAsia"/>
        </w:rPr>
      </w:pPr>
      <w:r>
        <w:rPr>
          <w:rStyle w:val="19"/>
        </w:rPr>
        <w:t>[</w:t>
      </w:r>
      <w:r>
        <w:rPr>
          <w:rStyle w:val="19"/>
        </w:rPr>
        <w:footnoteRef/>
      </w:r>
      <w:r>
        <w:rPr>
          <w:rStyle w:val="19"/>
        </w:rPr>
        <w:t>]</w:t>
      </w:r>
      <w:r>
        <w:t xml:space="preserve"> </w:t>
      </w:r>
      <w:r>
        <w:rPr>
          <w:rFonts w:hint="eastAsia"/>
        </w:rPr>
        <w:t>《安全生产法》第四十五条</w:t>
      </w:r>
      <w:r>
        <w:t> </w:t>
      </w:r>
      <w:r>
        <w:rPr>
          <w:rFonts w:hint="eastAsia"/>
        </w:rPr>
        <w:t>生产经营单位必须为从业人员提供符合国家标准或者行业标准的劳动防护用品，并监督、教育从业人员按照使用规则佩戴、使用。</w:t>
      </w:r>
    </w:p>
  </w:footnote>
  <w:footnote w:id="13">
    <w:p>
      <w:pPr>
        <w:pStyle w:val="9"/>
      </w:pPr>
      <w:r>
        <w:rPr>
          <w:rStyle w:val="19"/>
        </w:rPr>
        <w:t>[</w:t>
      </w:r>
      <w:r>
        <w:rPr>
          <w:rStyle w:val="19"/>
        </w:rPr>
        <w:footnoteRef/>
      </w:r>
      <w:r>
        <w:rPr>
          <w:rStyle w:val="19"/>
        </w:rPr>
        <w:t>]</w:t>
      </w:r>
      <w:r>
        <w:rPr>
          <w:rFonts w:hint="eastAsia"/>
        </w:rPr>
        <w:t>《安全生产法》第一百一十四条</w:t>
      </w:r>
      <w:r>
        <w:t> </w:t>
      </w:r>
      <w:r>
        <w:rPr>
          <w:rFonts w:hint="eastAsia"/>
        </w:rPr>
        <w:t>发生生产安全事故，对负有责任的生产经营单位除要求其依法承担相应的赔偿等责任外，由应急管理部门依照下列规定处以罚款：（一）发生一般事故的，处三十万元以上一百万元以下的罚款；</w:t>
      </w:r>
    </w:p>
  </w:footnote>
  <w:footnote w:id="14">
    <w:p>
      <w:pPr>
        <w:pStyle w:val="9"/>
      </w:pPr>
      <w:r>
        <w:rPr>
          <w:rStyle w:val="19"/>
        </w:rPr>
        <w:t>[</w:t>
      </w:r>
      <w:r>
        <w:rPr>
          <w:rStyle w:val="19"/>
        </w:rPr>
        <w:footnoteRef/>
      </w:r>
      <w:r>
        <w:rPr>
          <w:rStyle w:val="19"/>
        </w:rPr>
        <w:t>]</w:t>
      </w:r>
      <w:r>
        <w:t xml:space="preserve"> </w:t>
      </w:r>
      <w:r>
        <w:rPr>
          <w:rFonts w:hint="eastAsia"/>
        </w:rPr>
        <w:t>《安全生产法》第四十九条第二款：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footnote>
  <w:footnote w:id="15">
    <w:p>
      <w:pPr>
        <w:pStyle w:val="9"/>
      </w:pPr>
      <w:r>
        <w:rPr>
          <w:rStyle w:val="19"/>
        </w:rPr>
        <w:t>[</w:t>
      </w:r>
      <w:r>
        <w:rPr>
          <w:rStyle w:val="19"/>
        </w:rPr>
        <w:footnoteRef/>
      </w:r>
      <w:r>
        <w:rPr>
          <w:rStyle w:val="19"/>
        </w:rPr>
        <w:t>]</w:t>
      </w:r>
      <w:r>
        <w:t xml:space="preserve"> </w:t>
      </w:r>
      <w:r>
        <w:rPr>
          <w:rFonts w:hint="eastAsia"/>
        </w:rPr>
        <w:t>《安全生产法》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p>
  </w:footnote>
  <w:footnote w:id="16">
    <w:p>
      <w:pPr>
        <w:pStyle w:val="9"/>
      </w:pPr>
      <w:r>
        <w:rPr>
          <w:rStyle w:val="19"/>
        </w:rPr>
        <w:t>[</w:t>
      </w:r>
      <w:r>
        <w:rPr>
          <w:rStyle w:val="19"/>
        </w:rPr>
        <w:footnoteRef/>
      </w:r>
      <w:r>
        <w:rPr>
          <w:rStyle w:val="19"/>
        </w:rPr>
        <w:t>]</w:t>
      </w:r>
      <w:r>
        <w:t xml:space="preserve"> </w:t>
      </w:r>
      <w:r>
        <w:rPr>
          <w:rFonts w:hint="eastAsia"/>
        </w:rPr>
        <w:t>《安全生产法》第二十一条</w:t>
      </w:r>
      <w:r>
        <w:t> </w:t>
      </w:r>
      <w:r>
        <w:rPr>
          <w:rFonts w:hint="eastAsia"/>
        </w:rPr>
        <w:t>生产经营单位的主要负责人对本单位安全生产工作负有下列职责：</w:t>
      </w:r>
    </w:p>
    <w:p>
      <w:pPr>
        <w:pStyle w:val="9"/>
      </w:pPr>
      <w:r>
        <w:rPr>
          <w:rFonts w:hint="eastAsia"/>
        </w:rPr>
        <w:t>（一）建立健全并落实本单位全员安全生产责任制，加强安全生产标准化建设；</w:t>
      </w:r>
    </w:p>
    <w:p>
      <w:pPr>
        <w:pStyle w:val="9"/>
      </w:pPr>
      <w:r>
        <w:rPr>
          <w:rFonts w:hint="eastAsia"/>
        </w:rPr>
        <w:t>（二）组织制定并实施本单位安全生产规章制度和操作规程；</w:t>
      </w:r>
    </w:p>
    <w:p>
      <w:pPr>
        <w:pStyle w:val="9"/>
      </w:pPr>
      <w:r>
        <w:rPr>
          <w:rFonts w:hint="eastAsia"/>
        </w:rPr>
        <w:t>（三）组织制定并实施本单位安全生产教育和培训计划；</w:t>
      </w:r>
    </w:p>
    <w:p>
      <w:pPr>
        <w:pStyle w:val="9"/>
      </w:pPr>
      <w:r>
        <w:rPr>
          <w:rFonts w:hint="eastAsia"/>
        </w:rPr>
        <w:t>（四）保证本单位安全生产投入的有效实施；</w:t>
      </w:r>
    </w:p>
    <w:p>
      <w:pPr>
        <w:pStyle w:val="9"/>
      </w:pPr>
      <w:r>
        <w:rPr>
          <w:rFonts w:hint="eastAsia"/>
        </w:rPr>
        <w:t>（五）组织建立并落实安全风险分级管控和隐患排查治理双重预防工作机制，督促、检查本单位的安全生产工作，及时消除生产安全事故隐患；</w:t>
      </w:r>
    </w:p>
    <w:p>
      <w:pPr>
        <w:pStyle w:val="9"/>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readOnly" w:enforcement="1" w:cryptProviderType="rsaFull" w:cryptAlgorithmClass="hash" w:cryptAlgorithmType="typeAny" w:cryptAlgorithmSid="4" w:cryptSpinCount="0" w:hash="4Z8u34MUfW3aLG7G3nhzobgnpww=" w:salt="Uh7gw5l24mLt07Pbs51chw=="/>
  <w:defaultTabStop w:val="420"/>
  <w:drawingGridHorizontalSpacing w:val="105"/>
  <w:drawingGridVerticalSpacing w:val="156"/>
  <w:noPunctuationKerning w:val="1"/>
  <w:characterSpacingControl w:val="compressPunctuation"/>
  <w:footnotePr>
    <w:footnote w:id="34"/>
    <w:footnote w:id="3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03E"/>
    <w:rsid w:val="00000B79"/>
    <w:rsid w:val="00001DB6"/>
    <w:rsid w:val="000034E8"/>
    <w:rsid w:val="00003F72"/>
    <w:rsid w:val="00004819"/>
    <w:rsid w:val="00004F23"/>
    <w:rsid w:val="000052D7"/>
    <w:rsid w:val="00006929"/>
    <w:rsid w:val="00006BB4"/>
    <w:rsid w:val="00010130"/>
    <w:rsid w:val="00010E26"/>
    <w:rsid w:val="0001380D"/>
    <w:rsid w:val="00013BF4"/>
    <w:rsid w:val="000143BF"/>
    <w:rsid w:val="000148C1"/>
    <w:rsid w:val="00014B54"/>
    <w:rsid w:val="00015556"/>
    <w:rsid w:val="00015AA9"/>
    <w:rsid w:val="00016AE3"/>
    <w:rsid w:val="00016C35"/>
    <w:rsid w:val="00017556"/>
    <w:rsid w:val="00020712"/>
    <w:rsid w:val="00020747"/>
    <w:rsid w:val="0002562F"/>
    <w:rsid w:val="00025D1A"/>
    <w:rsid w:val="0002734C"/>
    <w:rsid w:val="000274AD"/>
    <w:rsid w:val="00027773"/>
    <w:rsid w:val="00027F0D"/>
    <w:rsid w:val="0003028D"/>
    <w:rsid w:val="00030602"/>
    <w:rsid w:val="0003094B"/>
    <w:rsid w:val="00031B07"/>
    <w:rsid w:val="00031D3B"/>
    <w:rsid w:val="0003226A"/>
    <w:rsid w:val="00032F55"/>
    <w:rsid w:val="00033C7A"/>
    <w:rsid w:val="0003434A"/>
    <w:rsid w:val="000344E5"/>
    <w:rsid w:val="00036DF0"/>
    <w:rsid w:val="00037C75"/>
    <w:rsid w:val="00037DF9"/>
    <w:rsid w:val="00040923"/>
    <w:rsid w:val="00041452"/>
    <w:rsid w:val="0004411B"/>
    <w:rsid w:val="0004448C"/>
    <w:rsid w:val="00045ACF"/>
    <w:rsid w:val="00046D00"/>
    <w:rsid w:val="00047339"/>
    <w:rsid w:val="00047623"/>
    <w:rsid w:val="0004764F"/>
    <w:rsid w:val="00052D65"/>
    <w:rsid w:val="000533AC"/>
    <w:rsid w:val="000543A1"/>
    <w:rsid w:val="00054D64"/>
    <w:rsid w:val="0005536D"/>
    <w:rsid w:val="00056F65"/>
    <w:rsid w:val="00057042"/>
    <w:rsid w:val="00057080"/>
    <w:rsid w:val="00057577"/>
    <w:rsid w:val="00057687"/>
    <w:rsid w:val="00060E82"/>
    <w:rsid w:val="000613F1"/>
    <w:rsid w:val="00062FA1"/>
    <w:rsid w:val="00062FC7"/>
    <w:rsid w:val="00064652"/>
    <w:rsid w:val="00065012"/>
    <w:rsid w:val="00065381"/>
    <w:rsid w:val="000665A8"/>
    <w:rsid w:val="00066F32"/>
    <w:rsid w:val="000676F5"/>
    <w:rsid w:val="000707A4"/>
    <w:rsid w:val="00070EE7"/>
    <w:rsid w:val="00074E81"/>
    <w:rsid w:val="000763BF"/>
    <w:rsid w:val="00076EEE"/>
    <w:rsid w:val="000773EE"/>
    <w:rsid w:val="000802A1"/>
    <w:rsid w:val="00080F20"/>
    <w:rsid w:val="00081F7A"/>
    <w:rsid w:val="000823D0"/>
    <w:rsid w:val="00082755"/>
    <w:rsid w:val="000828A1"/>
    <w:rsid w:val="00082CAE"/>
    <w:rsid w:val="00083302"/>
    <w:rsid w:val="000850FE"/>
    <w:rsid w:val="00085B16"/>
    <w:rsid w:val="00085DCD"/>
    <w:rsid w:val="000862A8"/>
    <w:rsid w:val="00086474"/>
    <w:rsid w:val="00086B1F"/>
    <w:rsid w:val="00086DC2"/>
    <w:rsid w:val="00087839"/>
    <w:rsid w:val="00090A6C"/>
    <w:rsid w:val="00091DF6"/>
    <w:rsid w:val="00094AED"/>
    <w:rsid w:val="00095424"/>
    <w:rsid w:val="00096B09"/>
    <w:rsid w:val="000970BA"/>
    <w:rsid w:val="000971A1"/>
    <w:rsid w:val="00097219"/>
    <w:rsid w:val="000974E2"/>
    <w:rsid w:val="000A1EC9"/>
    <w:rsid w:val="000A267C"/>
    <w:rsid w:val="000A3853"/>
    <w:rsid w:val="000A4AC5"/>
    <w:rsid w:val="000A4BC7"/>
    <w:rsid w:val="000A795E"/>
    <w:rsid w:val="000B1DC0"/>
    <w:rsid w:val="000B252F"/>
    <w:rsid w:val="000B2598"/>
    <w:rsid w:val="000B3037"/>
    <w:rsid w:val="000B3A0C"/>
    <w:rsid w:val="000B48D5"/>
    <w:rsid w:val="000B5F23"/>
    <w:rsid w:val="000C0449"/>
    <w:rsid w:val="000C2C01"/>
    <w:rsid w:val="000C345F"/>
    <w:rsid w:val="000C34F4"/>
    <w:rsid w:val="000C37A4"/>
    <w:rsid w:val="000C3A1D"/>
    <w:rsid w:val="000C56B7"/>
    <w:rsid w:val="000C6239"/>
    <w:rsid w:val="000C6C16"/>
    <w:rsid w:val="000C78B0"/>
    <w:rsid w:val="000C7FE4"/>
    <w:rsid w:val="000D22B0"/>
    <w:rsid w:val="000D2752"/>
    <w:rsid w:val="000D4872"/>
    <w:rsid w:val="000D4B95"/>
    <w:rsid w:val="000D6FF6"/>
    <w:rsid w:val="000D7529"/>
    <w:rsid w:val="000E17A0"/>
    <w:rsid w:val="000E2F2D"/>
    <w:rsid w:val="000E314B"/>
    <w:rsid w:val="000E32DA"/>
    <w:rsid w:val="000E3CF6"/>
    <w:rsid w:val="000E3E8B"/>
    <w:rsid w:val="000E400C"/>
    <w:rsid w:val="000E41CB"/>
    <w:rsid w:val="000E458F"/>
    <w:rsid w:val="000E69CA"/>
    <w:rsid w:val="000E7654"/>
    <w:rsid w:val="000F0ABB"/>
    <w:rsid w:val="000F0B9D"/>
    <w:rsid w:val="000F13F7"/>
    <w:rsid w:val="000F1E50"/>
    <w:rsid w:val="000F25C1"/>
    <w:rsid w:val="000F2854"/>
    <w:rsid w:val="000F40FF"/>
    <w:rsid w:val="000F44D1"/>
    <w:rsid w:val="000F466E"/>
    <w:rsid w:val="000F51F2"/>
    <w:rsid w:val="000F674C"/>
    <w:rsid w:val="000F7843"/>
    <w:rsid w:val="00101014"/>
    <w:rsid w:val="0010131A"/>
    <w:rsid w:val="0010199B"/>
    <w:rsid w:val="00101AAA"/>
    <w:rsid w:val="00102366"/>
    <w:rsid w:val="00102983"/>
    <w:rsid w:val="00103F92"/>
    <w:rsid w:val="001043B6"/>
    <w:rsid w:val="001048CE"/>
    <w:rsid w:val="0010552F"/>
    <w:rsid w:val="0010612C"/>
    <w:rsid w:val="00106A46"/>
    <w:rsid w:val="001118BF"/>
    <w:rsid w:val="00113566"/>
    <w:rsid w:val="00114153"/>
    <w:rsid w:val="00114C0F"/>
    <w:rsid w:val="0012005B"/>
    <w:rsid w:val="001203CB"/>
    <w:rsid w:val="0012065C"/>
    <w:rsid w:val="001224E8"/>
    <w:rsid w:val="001232F7"/>
    <w:rsid w:val="001233A8"/>
    <w:rsid w:val="001237B3"/>
    <w:rsid w:val="001254E6"/>
    <w:rsid w:val="00125A97"/>
    <w:rsid w:val="00127B88"/>
    <w:rsid w:val="00130131"/>
    <w:rsid w:val="00135550"/>
    <w:rsid w:val="00135597"/>
    <w:rsid w:val="00135A02"/>
    <w:rsid w:val="00137937"/>
    <w:rsid w:val="00140891"/>
    <w:rsid w:val="00142C3A"/>
    <w:rsid w:val="001435E2"/>
    <w:rsid w:val="001437B5"/>
    <w:rsid w:val="00143B37"/>
    <w:rsid w:val="00144E32"/>
    <w:rsid w:val="00145BDE"/>
    <w:rsid w:val="0015004D"/>
    <w:rsid w:val="00150583"/>
    <w:rsid w:val="00150F35"/>
    <w:rsid w:val="0015377A"/>
    <w:rsid w:val="00153979"/>
    <w:rsid w:val="00153D68"/>
    <w:rsid w:val="00156CD3"/>
    <w:rsid w:val="001577BD"/>
    <w:rsid w:val="0015792A"/>
    <w:rsid w:val="00157F54"/>
    <w:rsid w:val="0016119B"/>
    <w:rsid w:val="0016129D"/>
    <w:rsid w:val="00161B81"/>
    <w:rsid w:val="00162655"/>
    <w:rsid w:val="00163AFC"/>
    <w:rsid w:val="00164898"/>
    <w:rsid w:val="0016633D"/>
    <w:rsid w:val="00166D2E"/>
    <w:rsid w:val="00167BA0"/>
    <w:rsid w:val="0017030D"/>
    <w:rsid w:val="00170951"/>
    <w:rsid w:val="00171112"/>
    <w:rsid w:val="001722EE"/>
    <w:rsid w:val="00173528"/>
    <w:rsid w:val="00173CAB"/>
    <w:rsid w:val="00174719"/>
    <w:rsid w:val="00174ACA"/>
    <w:rsid w:val="00174FE6"/>
    <w:rsid w:val="00175282"/>
    <w:rsid w:val="001753DB"/>
    <w:rsid w:val="00177E3B"/>
    <w:rsid w:val="00181B7E"/>
    <w:rsid w:val="001836DE"/>
    <w:rsid w:val="00186309"/>
    <w:rsid w:val="00187601"/>
    <w:rsid w:val="00187687"/>
    <w:rsid w:val="00190125"/>
    <w:rsid w:val="00190E6E"/>
    <w:rsid w:val="001913C3"/>
    <w:rsid w:val="00192385"/>
    <w:rsid w:val="0019300B"/>
    <w:rsid w:val="001943E3"/>
    <w:rsid w:val="001948B6"/>
    <w:rsid w:val="00195684"/>
    <w:rsid w:val="00195F63"/>
    <w:rsid w:val="00196B6E"/>
    <w:rsid w:val="00197245"/>
    <w:rsid w:val="0019754B"/>
    <w:rsid w:val="00197B71"/>
    <w:rsid w:val="001A07AB"/>
    <w:rsid w:val="001A0938"/>
    <w:rsid w:val="001A1078"/>
    <w:rsid w:val="001A3CFA"/>
    <w:rsid w:val="001A4D85"/>
    <w:rsid w:val="001A622C"/>
    <w:rsid w:val="001A6C78"/>
    <w:rsid w:val="001A7180"/>
    <w:rsid w:val="001A744F"/>
    <w:rsid w:val="001A7535"/>
    <w:rsid w:val="001B2457"/>
    <w:rsid w:val="001B5E4B"/>
    <w:rsid w:val="001B64A5"/>
    <w:rsid w:val="001B657F"/>
    <w:rsid w:val="001B6C4B"/>
    <w:rsid w:val="001B7F0B"/>
    <w:rsid w:val="001B7F38"/>
    <w:rsid w:val="001C1AC6"/>
    <w:rsid w:val="001C1ED0"/>
    <w:rsid w:val="001C3A69"/>
    <w:rsid w:val="001C470F"/>
    <w:rsid w:val="001C4D04"/>
    <w:rsid w:val="001C575F"/>
    <w:rsid w:val="001C5985"/>
    <w:rsid w:val="001C6E01"/>
    <w:rsid w:val="001C7DD9"/>
    <w:rsid w:val="001D0F38"/>
    <w:rsid w:val="001D649D"/>
    <w:rsid w:val="001D6524"/>
    <w:rsid w:val="001D6766"/>
    <w:rsid w:val="001D6F80"/>
    <w:rsid w:val="001D7A54"/>
    <w:rsid w:val="001E0B9A"/>
    <w:rsid w:val="001E2C56"/>
    <w:rsid w:val="001E3021"/>
    <w:rsid w:val="001E3FDE"/>
    <w:rsid w:val="001E45B6"/>
    <w:rsid w:val="001E4CA7"/>
    <w:rsid w:val="001E51E5"/>
    <w:rsid w:val="001E5EBB"/>
    <w:rsid w:val="001E6ACF"/>
    <w:rsid w:val="001E6B9D"/>
    <w:rsid w:val="001F09D2"/>
    <w:rsid w:val="001F0D85"/>
    <w:rsid w:val="001F2067"/>
    <w:rsid w:val="001F23F7"/>
    <w:rsid w:val="001F2D43"/>
    <w:rsid w:val="001F2F61"/>
    <w:rsid w:val="001F3553"/>
    <w:rsid w:val="001F455A"/>
    <w:rsid w:val="001F4AE7"/>
    <w:rsid w:val="001F6593"/>
    <w:rsid w:val="00200817"/>
    <w:rsid w:val="002011DC"/>
    <w:rsid w:val="00202500"/>
    <w:rsid w:val="00203EF9"/>
    <w:rsid w:val="002041BE"/>
    <w:rsid w:val="00213204"/>
    <w:rsid w:val="00213702"/>
    <w:rsid w:val="00214D10"/>
    <w:rsid w:val="00214E87"/>
    <w:rsid w:val="00215163"/>
    <w:rsid w:val="002164FA"/>
    <w:rsid w:val="00217242"/>
    <w:rsid w:val="00217C30"/>
    <w:rsid w:val="00217F88"/>
    <w:rsid w:val="002206F4"/>
    <w:rsid w:val="00220FEA"/>
    <w:rsid w:val="002211F7"/>
    <w:rsid w:val="002228A6"/>
    <w:rsid w:val="00223C27"/>
    <w:rsid w:val="0022406C"/>
    <w:rsid w:val="00224431"/>
    <w:rsid w:val="00224561"/>
    <w:rsid w:val="0023189C"/>
    <w:rsid w:val="00232911"/>
    <w:rsid w:val="0023551C"/>
    <w:rsid w:val="00235C5D"/>
    <w:rsid w:val="0023699F"/>
    <w:rsid w:val="00240401"/>
    <w:rsid w:val="002429E5"/>
    <w:rsid w:val="00244433"/>
    <w:rsid w:val="002459C0"/>
    <w:rsid w:val="0024630E"/>
    <w:rsid w:val="00250B7F"/>
    <w:rsid w:val="00250C24"/>
    <w:rsid w:val="0025437C"/>
    <w:rsid w:val="00254DE3"/>
    <w:rsid w:val="00256141"/>
    <w:rsid w:val="00256F03"/>
    <w:rsid w:val="00256F6A"/>
    <w:rsid w:val="0025737D"/>
    <w:rsid w:val="0025739C"/>
    <w:rsid w:val="00260471"/>
    <w:rsid w:val="002621E6"/>
    <w:rsid w:val="002622BC"/>
    <w:rsid w:val="0026244F"/>
    <w:rsid w:val="002630BD"/>
    <w:rsid w:val="00263944"/>
    <w:rsid w:val="00266301"/>
    <w:rsid w:val="00266B1B"/>
    <w:rsid w:val="00272804"/>
    <w:rsid w:val="00273AD2"/>
    <w:rsid w:val="00273CC2"/>
    <w:rsid w:val="00273F6C"/>
    <w:rsid w:val="00274246"/>
    <w:rsid w:val="00274659"/>
    <w:rsid w:val="0027472E"/>
    <w:rsid w:val="0027550B"/>
    <w:rsid w:val="00275CC6"/>
    <w:rsid w:val="00276197"/>
    <w:rsid w:val="00277106"/>
    <w:rsid w:val="002777F5"/>
    <w:rsid w:val="00280DB0"/>
    <w:rsid w:val="00281A4B"/>
    <w:rsid w:val="002829AA"/>
    <w:rsid w:val="00283E19"/>
    <w:rsid w:val="00285FF2"/>
    <w:rsid w:val="0028762B"/>
    <w:rsid w:val="00287ADD"/>
    <w:rsid w:val="002926A6"/>
    <w:rsid w:val="00292B73"/>
    <w:rsid w:val="0029315A"/>
    <w:rsid w:val="0029646E"/>
    <w:rsid w:val="00296775"/>
    <w:rsid w:val="00296F78"/>
    <w:rsid w:val="00297335"/>
    <w:rsid w:val="002A2064"/>
    <w:rsid w:val="002A21F4"/>
    <w:rsid w:val="002A4C32"/>
    <w:rsid w:val="002A4F16"/>
    <w:rsid w:val="002A5515"/>
    <w:rsid w:val="002A5552"/>
    <w:rsid w:val="002A741A"/>
    <w:rsid w:val="002A7B59"/>
    <w:rsid w:val="002B0A6A"/>
    <w:rsid w:val="002B0C7E"/>
    <w:rsid w:val="002B0E89"/>
    <w:rsid w:val="002B201B"/>
    <w:rsid w:val="002B27DD"/>
    <w:rsid w:val="002B4322"/>
    <w:rsid w:val="002B479D"/>
    <w:rsid w:val="002B5239"/>
    <w:rsid w:val="002B5B42"/>
    <w:rsid w:val="002B6079"/>
    <w:rsid w:val="002B63B5"/>
    <w:rsid w:val="002B66DB"/>
    <w:rsid w:val="002B6A74"/>
    <w:rsid w:val="002C0026"/>
    <w:rsid w:val="002C1E88"/>
    <w:rsid w:val="002C2CB2"/>
    <w:rsid w:val="002C3ADB"/>
    <w:rsid w:val="002C42F3"/>
    <w:rsid w:val="002C4AEA"/>
    <w:rsid w:val="002C6A9E"/>
    <w:rsid w:val="002C7FDC"/>
    <w:rsid w:val="002D0047"/>
    <w:rsid w:val="002D041B"/>
    <w:rsid w:val="002D0BA3"/>
    <w:rsid w:val="002D0E99"/>
    <w:rsid w:val="002D16EB"/>
    <w:rsid w:val="002D1A82"/>
    <w:rsid w:val="002D280F"/>
    <w:rsid w:val="002D2A14"/>
    <w:rsid w:val="002D3BAC"/>
    <w:rsid w:val="002D3D9D"/>
    <w:rsid w:val="002D4464"/>
    <w:rsid w:val="002D4A14"/>
    <w:rsid w:val="002D5816"/>
    <w:rsid w:val="002D5F41"/>
    <w:rsid w:val="002D7528"/>
    <w:rsid w:val="002E024D"/>
    <w:rsid w:val="002E1EE3"/>
    <w:rsid w:val="002E351D"/>
    <w:rsid w:val="002E4161"/>
    <w:rsid w:val="002E4A0B"/>
    <w:rsid w:val="002E4CC0"/>
    <w:rsid w:val="002E4DFD"/>
    <w:rsid w:val="002E50A2"/>
    <w:rsid w:val="002E5477"/>
    <w:rsid w:val="002E54F3"/>
    <w:rsid w:val="002E5E1D"/>
    <w:rsid w:val="002E68AB"/>
    <w:rsid w:val="002E6B03"/>
    <w:rsid w:val="002E6E59"/>
    <w:rsid w:val="002E7561"/>
    <w:rsid w:val="002E787A"/>
    <w:rsid w:val="002F007B"/>
    <w:rsid w:val="002F0FF6"/>
    <w:rsid w:val="002F1E56"/>
    <w:rsid w:val="002F2EEE"/>
    <w:rsid w:val="002F49C9"/>
    <w:rsid w:val="002F5959"/>
    <w:rsid w:val="00301E8B"/>
    <w:rsid w:val="0030218D"/>
    <w:rsid w:val="0030373E"/>
    <w:rsid w:val="0030415A"/>
    <w:rsid w:val="003055F9"/>
    <w:rsid w:val="00305E68"/>
    <w:rsid w:val="00306798"/>
    <w:rsid w:val="00307468"/>
    <w:rsid w:val="00307664"/>
    <w:rsid w:val="00310345"/>
    <w:rsid w:val="00313029"/>
    <w:rsid w:val="00313E3E"/>
    <w:rsid w:val="00313FD5"/>
    <w:rsid w:val="00315146"/>
    <w:rsid w:val="00316BEF"/>
    <w:rsid w:val="0032174B"/>
    <w:rsid w:val="00321D73"/>
    <w:rsid w:val="00321D7B"/>
    <w:rsid w:val="003252EF"/>
    <w:rsid w:val="00326314"/>
    <w:rsid w:val="00330D00"/>
    <w:rsid w:val="00331307"/>
    <w:rsid w:val="00333F53"/>
    <w:rsid w:val="00333F56"/>
    <w:rsid w:val="0034016A"/>
    <w:rsid w:val="00341755"/>
    <w:rsid w:val="00341A83"/>
    <w:rsid w:val="003422D1"/>
    <w:rsid w:val="00342E29"/>
    <w:rsid w:val="003440AD"/>
    <w:rsid w:val="00345618"/>
    <w:rsid w:val="003500AF"/>
    <w:rsid w:val="00350493"/>
    <w:rsid w:val="00351C9A"/>
    <w:rsid w:val="0035232A"/>
    <w:rsid w:val="003535CD"/>
    <w:rsid w:val="0035378F"/>
    <w:rsid w:val="00353FB3"/>
    <w:rsid w:val="003548D3"/>
    <w:rsid w:val="0035528B"/>
    <w:rsid w:val="00355C23"/>
    <w:rsid w:val="003560A4"/>
    <w:rsid w:val="00356580"/>
    <w:rsid w:val="00356F25"/>
    <w:rsid w:val="00357BCE"/>
    <w:rsid w:val="00361F9C"/>
    <w:rsid w:val="00362078"/>
    <w:rsid w:val="00362615"/>
    <w:rsid w:val="00362E99"/>
    <w:rsid w:val="00363FF6"/>
    <w:rsid w:val="003645C0"/>
    <w:rsid w:val="00364D7E"/>
    <w:rsid w:val="00364FF4"/>
    <w:rsid w:val="00365BC9"/>
    <w:rsid w:val="0036685E"/>
    <w:rsid w:val="00366A45"/>
    <w:rsid w:val="0036707A"/>
    <w:rsid w:val="00367183"/>
    <w:rsid w:val="00367868"/>
    <w:rsid w:val="003708B7"/>
    <w:rsid w:val="00371DD7"/>
    <w:rsid w:val="0037481D"/>
    <w:rsid w:val="0037487F"/>
    <w:rsid w:val="00374D68"/>
    <w:rsid w:val="003751B1"/>
    <w:rsid w:val="00375912"/>
    <w:rsid w:val="00375A73"/>
    <w:rsid w:val="003764EA"/>
    <w:rsid w:val="00376F4F"/>
    <w:rsid w:val="00377003"/>
    <w:rsid w:val="00377CE5"/>
    <w:rsid w:val="003807F6"/>
    <w:rsid w:val="00382270"/>
    <w:rsid w:val="00384589"/>
    <w:rsid w:val="00384D94"/>
    <w:rsid w:val="00384E35"/>
    <w:rsid w:val="003855C1"/>
    <w:rsid w:val="00385D97"/>
    <w:rsid w:val="00386348"/>
    <w:rsid w:val="00386A17"/>
    <w:rsid w:val="00387CED"/>
    <w:rsid w:val="0039037A"/>
    <w:rsid w:val="00391927"/>
    <w:rsid w:val="00393591"/>
    <w:rsid w:val="003947DC"/>
    <w:rsid w:val="00394BFC"/>
    <w:rsid w:val="0039587D"/>
    <w:rsid w:val="00395A49"/>
    <w:rsid w:val="0039739B"/>
    <w:rsid w:val="00397A06"/>
    <w:rsid w:val="003A12F8"/>
    <w:rsid w:val="003A16D1"/>
    <w:rsid w:val="003A21BB"/>
    <w:rsid w:val="003A5954"/>
    <w:rsid w:val="003A6114"/>
    <w:rsid w:val="003A7550"/>
    <w:rsid w:val="003B04BE"/>
    <w:rsid w:val="003B0929"/>
    <w:rsid w:val="003B36F7"/>
    <w:rsid w:val="003B547B"/>
    <w:rsid w:val="003B5A78"/>
    <w:rsid w:val="003B5E67"/>
    <w:rsid w:val="003B67B7"/>
    <w:rsid w:val="003B75B1"/>
    <w:rsid w:val="003B75D9"/>
    <w:rsid w:val="003C0609"/>
    <w:rsid w:val="003C0768"/>
    <w:rsid w:val="003C0E87"/>
    <w:rsid w:val="003C2351"/>
    <w:rsid w:val="003C282D"/>
    <w:rsid w:val="003C28D5"/>
    <w:rsid w:val="003C2BAC"/>
    <w:rsid w:val="003C2E8A"/>
    <w:rsid w:val="003C4FFB"/>
    <w:rsid w:val="003C619F"/>
    <w:rsid w:val="003C659B"/>
    <w:rsid w:val="003C6E12"/>
    <w:rsid w:val="003C7F73"/>
    <w:rsid w:val="003D2311"/>
    <w:rsid w:val="003D28F3"/>
    <w:rsid w:val="003D344D"/>
    <w:rsid w:val="003D49B2"/>
    <w:rsid w:val="003D59BC"/>
    <w:rsid w:val="003D5D17"/>
    <w:rsid w:val="003D64E7"/>
    <w:rsid w:val="003D71D3"/>
    <w:rsid w:val="003E02A4"/>
    <w:rsid w:val="003E18DC"/>
    <w:rsid w:val="003E198F"/>
    <w:rsid w:val="003E23F4"/>
    <w:rsid w:val="003E32F0"/>
    <w:rsid w:val="003E3961"/>
    <w:rsid w:val="003E461F"/>
    <w:rsid w:val="003E53A3"/>
    <w:rsid w:val="003E5AAE"/>
    <w:rsid w:val="003E6FC6"/>
    <w:rsid w:val="003E777D"/>
    <w:rsid w:val="003E7AC4"/>
    <w:rsid w:val="003E7CAA"/>
    <w:rsid w:val="003F2902"/>
    <w:rsid w:val="003F32BC"/>
    <w:rsid w:val="003F3EEB"/>
    <w:rsid w:val="003F4239"/>
    <w:rsid w:val="003F4ACD"/>
    <w:rsid w:val="003F5CE2"/>
    <w:rsid w:val="003F64CD"/>
    <w:rsid w:val="003F6B00"/>
    <w:rsid w:val="003F6BF6"/>
    <w:rsid w:val="003F6CB4"/>
    <w:rsid w:val="003F6EBE"/>
    <w:rsid w:val="003F727B"/>
    <w:rsid w:val="003F72FB"/>
    <w:rsid w:val="00400594"/>
    <w:rsid w:val="00400CF7"/>
    <w:rsid w:val="00400F33"/>
    <w:rsid w:val="00401168"/>
    <w:rsid w:val="0040140B"/>
    <w:rsid w:val="00401992"/>
    <w:rsid w:val="0040268E"/>
    <w:rsid w:val="00402991"/>
    <w:rsid w:val="0040371B"/>
    <w:rsid w:val="004047DC"/>
    <w:rsid w:val="00405E95"/>
    <w:rsid w:val="0040628E"/>
    <w:rsid w:val="00406A9B"/>
    <w:rsid w:val="00407D13"/>
    <w:rsid w:val="00410651"/>
    <w:rsid w:val="00413536"/>
    <w:rsid w:val="00413BFD"/>
    <w:rsid w:val="00414634"/>
    <w:rsid w:val="0041500F"/>
    <w:rsid w:val="0041549B"/>
    <w:rsid w:val="00415A06"/>
    <w:rsid w:val="00415C2F"/>
    <w:rsid w:val="004165CB"/>
    <w:rsid w:val="0041680E"/>
    <w:rsid w:val="00416C9F"/>
    <w:rsid w:val="00416D3B"/>
    <w:rsid w:val="004177F6"/>
    <w:rsid w:val="00420409"/>
    <w:rsid w:val="004204C0"/>
    <w:rsid w:val="004206F6"/>
    <w:rsid w:val="00421508"/>
    <w:rsid w:val="00422D3D"/>
    <w:rsid w:val="0042328A"/>
    <w:rsid w:val="004247D4"/>
    <w:rsid w:val="004258D1"/>
    <w:rsid w:val="00426359"/>
    <w:rsid w:val="004351C5"/>
    <w:rsid w:val="00435EA6"/>
    <w:rsid w:val="00435F1E"/>
    <w:rsid w:val="00436D6E"/>
    <w:rsid w:val="00440679"/>
    <w:rsid w:val="0044097D"/>
    <w:rsid w:val="00441E63"/>
    <w:rsid w:val="00442441"/>
    <w:rsid w:val="004431DF"/>
    <w:rsid w:val="00445D87"/>
    <w:rsid w:val="00447D4D"/>
    <w:rsid w:val="00450817"/>
    <w:rsid w:val="00450D4C"/>
    <w:rsid w:val="00452581"/>
    <w:rsid w:val="00453613"/>
    <w:rsid w:val="00453960"/>
    <w:rsid w:val="004545EE"/>
    <w:rsid w:val="00455E1D"/>
    <w:rsid w:val="00456324"/>
    <w:rsid w:val="00460290"/>
    <w:rsid w:val="00460300"/>
    <w:rsid w:val="00460820"/>
    <w:rsid w:val="00462DA8"/>
    <w:rsid w:val="00463093"/>
    <w:rsid w:val="0046479D"/>
    <w:rsid w:val="0046529D"/>
    <w:rsid w:val="00467440"/>
    <w:rsid w:val="00467542"/>
    <w:rsid w:val="00470632"/>
    <w:rsid w:val="0047211D"/>
    <w:rsid w:val="00473558"/>
    <w:rsid w:val="00473C47"/>
    <w:rsid w:val="00474627"/>
    <w:rsid w:val="00474C97"/>
    <w:rsid w:val="00475075"/>
    <w:rsid w:val="00477128"/>
    <w:rsid w:val="00477408"/>
    <w:rsid w:val="00477D6B"/>
    <w:rsid w:val="00477D94"/>
    <w:rsid w:val="00480067"/>
    <w:rsid w:val="004801E0"/>
    <w:rsid w:val="00480907"/>
    <w:rsid w:val="00481ADE"/>
    <w:rsid w:val="004826C6"/>
    <w:rsid w:val="00483A2F"/>
    <w:rsid w:val="00483BA2"/>
    <w:rsid w:val="004842FF"/>
    <w:rsid w:val="00484515"/>
    <w:rsid w:val="004860FF"/>
    <w:rsid w:val="0048676F"/>
    <w:rsid w:val="00487664"/>
    <w:rsid w:val="004878CE"/>
    <w:rsid w:val="0049178A"/>
    <w:rsid w:val="004939B3"/>
    <w:rsid w:val="00493E03"/>
    <w:rsid w:val="00495E19"/>
    <w:rsid w:val="00496621"/>
    <w:rsid w:val="00497947"/>
    <w:rsid w:val="004A0133"/>
    <w:rsid w:val="004A1C53"/>
    <w:rsid w:val="004A1CDF"/>
    <w:rsid w:val="004A2CF9"/>
    <w:rsid w:val="004A36EC"/>
    <w:rsid w:val="004A4465"/>
    <w:rsid w:val="004A52DF"/>
    <w:rsid w:val="004A55D2"/>
    <w:rsid w:val="004A6A69"/>
    <w:rsid w:val="004A6FDD"/>
    <w:rsid w:val="004A7444"/>
    <w:rsid w:val="004B068F"/>
    <w:rsid w:val="004B0942"/>
    <w:rsid w:val="004B1414"/>
    <w:rsid w:val="004B209E"/>
    <w:rsid w:val="004B35D2"/>
    <w:rsid w:val="004B4183"/>
    <w:rsid w:val="004B5059"/>
    <w:rsid w:val="004B6595"/>
    <w:rsid w:val="004B687D"/>
    <w:rsid w:val="004B7740"/>
    <w:rsid w:val="004C0786"/>
    <w:rsid w:val="004C134B"/>
    <w:rsid w:val="004C1FB3"/>
    <w:rsid w:val="004C3B2C"/>
    <w:rsid w:val="004C3BB9"/>
    <w:rsid w:val="004C3D05"/>
    <w:rsid w:val="004C5318"/>
    <w:rsid w:val="004C61EF"/>
    <w:rsid w:val="004C75F7"/>
    <w:rsid w:val="004D013F"/>
    <w:rsid w:val="004D04F8"/>
    <w:rsid w:val="004D0D5E"/>
    <w:rsid w:val="004D1B19"/>
    <w:rsid w:val="004D2D2A"/>
    <w:rsid w:val="004D326E"/>
    <w:rsid w:val="004D436F"/>
    <w:rsid w:val="004D4AEB"/>
    <w:rsid w:val="004D533A"/>
    <w:rsid w:val="004D5B96"/>
    <w:rsid w:val="004D5F99"/>
    <w:rsid w:val="004D6722"/>
    <w:rsid w:val="004D6A0B"/>
    <w:rsid w:val="004D708C"/>
    <w:rsid w:val="004D7F51"/>
    <w:rsid w:val="004E06EB"/>
    <w:rsid w:val="004E0E6D"/>
    <w:rsid w:val="004E13E3"/>
    <w:rsid w:val="004E1AFD"/>
    <w:rsid w:val="004E1C49"/>
    <w:rsid w:val="004E229E"/>
    <w:rsid w:val="004E2454"/>
    <w:rsid w:val="004E296B"/>
    <w:rsid w:val="004E35B6"/>
    <w:rsid w:val="004E3FB4"/>
    <w:rsid w:val="004E42FC"/>
    <w:rsid w:val="004E4517"/>
    <w:rsid w:val="004E5EE7"/>
    <w:rsid w:val="004E76D0"/>
    <w:rsid w:val="004E7B84"/>
    <w:rsid w:val="004E7ED3"/>
    <w:rsid w:val="004F0B81"/>
    <w:rsid w:val="004F0C30"/>
    <w:rsid w:val="004F1013"/>
    <w:rsid w:val="004F2B81"/>
    <w:rsid w:val="004F47AC"/>
    <w:rsid w:val="004F48E8"/>
    <w:rsid w:val="004F5A06"/>
    <w:rsid w:val="004F6A44"/>
    <w:rsid w:val="004F73AE"/>
    <w:rsid w:val="005006C9"/>
    <w:rsid w:val="005008E1"/>
    <w:rsid w:val="00500F14"/>
    <w:rsid w:val="00502316"/>
    <w:rsid w:val="00502CDB"/>
    <w:rsid w:val="00502D47"/>
    <w:rsid w:val="00502D7C"/>
    <w:rsid w:val="00504B77"/>
    <w:rsid w:val="00505013"/>
    <w:rsid w:val="0050662B"/>
    <w:rsid w:val="0050663D"/>
    <w:rsid w:val="00506CBD"/>
    <w:rsid w:val="00506DEC"/>
    <w:rsid w:val="00507F23"/>
    <w:rsid w:val="00511485"/>
    <w:rsid w:val="005133CC"/>
    <w:rsid w:val="00514527"/>
    <w:rsid w:val="00517E19"/>
    <w:rsid w:val="00520D54"/>
    <w:rsid w:val="00521329"/>
    <w:rsid w:val="005217AC"/>
    <w:rsid w:val="00521C56"/>
    <w:rsid w:val="005234B2"/>
    <w:rsid w:val="00524217"/>
    <w:rsid w:val="00524733"/>
    <w:rsid w:val="00524FA3"/>
    <w:rsid w:val="00525BA5"/>
    <w:rsid w:val="00526D17"/>
    <w:rsid w:val="00527B28"/>
    <w:rsid w:val="00530C89"/>
    <w:rsid w:val="00531DFC"/>
    <w:rsid w:val="00534F2D"/>
    <w:rsid w:val="00535443"/>
    <w:rsid w:val="00535EE0"/>
    <w:rsid w:val="005362CB"/>
    <w:rsid w:val="005362CE"/>
    <w:rsid w:val="00536830"/>
    <w:rsid w:val="00537AF3"/>
    <w:rsid w:val="0054160C"/>
    <w:rsid w:val="00542A79"/>
    <w:rsid w:val="00542B05"/>
    <w:rsid w:val="005431E8"/>
    <w:rsid w:val="00544305"/>
    <w:rsid w:val="005448DD"/>
    <w:rsid w:val="00544CDC"/>
    <w:rsid w:val="00545178"/>
    <w:rsid w:val="00546A71"/>
    <w:rsid w:val="005474EA"/>
    <w:rsid w:val="00550E8D"/>
    <w:rsid w:val="00552853"/>
    <w:rsid w:val="00552E68"/>
    <w:rsid w:val="0055338D"/>
    <w:rsid w:val="00555BAE"/>
    <w:rsid w:val="00556616"/>
    <w:rsid w:val="0055721C"/>
    <w:rsid w:val="00557957"/>
    <w:rsid w:val="00563933"/>
    <w:rsid w:val="005653A1"/>
    <w:rsid w:val="005674D8"/>
    <w:rsid w:val="00570797"/>
    <w:rsid w:val="00570DDD"/>
    <w:rsid w:val="005712C7"/>
    <w:rsid w:val="00573DFE"/>
    <w:rsid w:val="00573EEE"/>
    <w:rsid w:val="0057546A"/>
    <w:rsid w:val="005755E8"/>
    <w:rsid w:val="00575AF8"/>
    <w:rsid w:val="00577E09"/>
    <w:rsid w:val="00577E70"/>
    <w:rsid w:val="0058094A"/>
    <w:rsid w:val="00580B4C"/>
    <w:rsid w:val="00581B65"/>
    <w:rsid w:val="00581C98"/>
    <w:rsid w:val="00581CCC"/>
    <w:rsid w:val="00583A9E"/>
    <w:rsid w:val="00583F3C"/>
    <w:rsid w:val="005847D1"/>
    <w:rsid w:val="0058587A"/>
    <w:rsid w:val="0059013A"/>
    <w:rsid w:val="005908B6"/>
    <w:rsid w:val="0059104F"/>
    <w:rsid w:val="0059112A"/>
    <w:rsid w:val="005919A5"/>
    <w:rsid w:val="00595137"/>
    <w:rsid w:val="005966D0"/>
    <w:rsid w:val="005969E5"/>
    <w:rsid w:val="00597BA0"/>
    <w:rsid w:val="00597F4F"/>
    <w:rsid w:val="005A1019"/>
    <w:rsid w:val="005A1D63"/>
    <w:rsid w:val="005A289B"/>
    <w:rsid w:val="005A5985"/>
    <w:rsid w:val="005A5D06"/>
    <w:rsid w:val="005A6078"/>
    <w:rsid w:val="005A6DD7"/>
    <w:rsid w:val="005A7A69"/>
    <w:rsid w:val="005A7B6B"/>
    <w:rsid w:val="005B05B8"/>
    <w:rsid w:val="005B2201"/>
    <w:rsid w:val="005B26E5"/>
    <w:rsid w:val="005B2CD5"/>
    <w:rsid w:val="005B3AFF"/>
    <w:rsid w:val="005B4E8A"/>
    <w:rsid w:val="005B4FA9"/>
    <w:rsid w:val="005B6E3D"/>
    <w:rsid w:val="005B7153"/>
    <w:rsid w:val="005B7B12"/>
    <w:rsid w:val="005B7EA2"/>
    <w:rsid w:val="005C0915"/>
    <w:rsid w:val="005C1759"/>
    <w:rsid w:val="005C26BC"/>
    <w:rsid w:val="005C585E"/>
    <w:rsid w:val="005C5881"/>
    <w:rsid w:val="005C7E9D"/>
    <w:rsid w:val="005D0243"/>
    <w:rsid w:val="005D0961"/>
    <w:rsid w:val="005D0AF8"/>
    <w:rsid w:val="005D164C"/>
    <w:rsid w:val="005D1724"/>
    <w:rsid w:val="005D1991"/>
    <w:rsid w:val="005D24AE"/>
    <w:rsid w:val="005D37CD"/>
    <w:rsid w:val="005D3AC0"/>
    <w:rsid w:val="005D3AFE"/>
    <w:rsid w:val="005D62BA"/>
    <w:rsid w:val="005D6C06"/>
    <w:rsid w:val="005E0414"/>
    <w:rsid w:val="005E0A67"/>
    <w:rsid w:val="005E1E5E"/>
    <w:rsid w:val="005E31DD"/>
    <w:rsid w:val="005E6C49"/>
    <w:rsid w:val="005E6FE8"/>
    <w:rsid w:val="005E744D"/>
    <w:rsid w:val="005E74CE"/>
    <w:rsid w:val="005F1B62"/>
    <w:rsid w:val="005F222A"/>
    <w:rsid w:val="005F2254"/>
    <w:rsid w:val="005F2D49"/>
    <w:rsid w:val="005F45B7"/>
    <w:rsid w:val="005F4EB9"/>
    <w:rsid w:val="005F5370"/>
    <w:rsid w:val="005F56F4"/>
    <w:rsid w:val="005F57B1"/>
    <w:rsid w:val="005F68AD"/>
    <w:rsid w:val="005F6ABE"/>
    <w:rsid w:val="005F722F"/>
    <w:rsid w:val="005F77AA"/>
    <w:rsid w:val="005F795A"/>
    <w:rsid w:val="006019C7"/>
    <w:rsid w:val="006049BC"/>
    <w:rsid w:val="006053A6"/>
    <w:rsid w:val="0060555B"/>
    <w:rsid w:val="006076BD"/>
    <w:rsid w:val="00610DE2"/>
    <w:rsid w:val="006111BA"/>
    <w:rsid w:val="0061127A"/>
    <w:rsid w:val="006146D2"/>
    <w:rsid w:val="0061662A"/>
    <w:rsid w:val="0061792A"/>
    <w:rsid w:val="00617A2C"/>
    <w:rsid w:val="00617F6C"/>
    <w:rsid w:val="0062168F"/>
    <w:rsid w:val="006216A9"/>
    <w:rsid w:val="00622E0E"/>
    <w:rsid w:val="00622FBD"/>
    <w:rsid w:val="006252CE"/>
    <w:rsid w:val="00625A39"/>
    <w:rsid w:val="006276CE"/>
    <w:rsid w:val="00627B84"/>
    <w:rsid w:val="00632965"/>
    <w:rsid w:val="00632CFD"/>
    <w:rsid w:val="0063622F"/>
    <w:rsid w:val="00637467"/>
    <w:rsid w:val="0064064C"/>
    <w:rsid w:val="00640782"/>
    <w:rsid w:val="00641DD6"/>
    <w:rsid w:val="00642B6A"/>
    <w:rsid w:val="00644C30"/>
    <w:rsid w:val="0064519D"/>
    <w:rsid w:val="00645DA5"/>
    <w:rsid w:val="00646451"/>
    <w:rsid w:val="00646D74"/>
    <w:rsid w:val="00650517"/>
    <w:rsid w:val="00650794"/>
    <w:rsid w:val="00650E59"/>
    <w:rsid w:val="00651E4B"/>
    <w:rsid w:val="006527CD"/>
    <w:rsid w:val="00653830"/>
    <w:rsid w:val="00654312"/>
    <w:rsid w:val="006576EB"/>
    <w:rsid w:val="006606E6"/>
    <w:rsid w:val="006607D5"/>
    <w:rsid w:val="00662091"/>
    <w:rsid w:val="00662460"/>
    <w:rsid w:val="006649C9"/>
    <w:rsid w:val="00664DBB"/>
    <w:rsid w:val="0066582A"/>
    <w:rsid w:val="006666D9"/>
    <w:rsid w:val="00666CF0"/>
    <w:rsid w:val="00670261"/>
    <w:rsid w:val="00670D79"/>
    <w:rsid w:val="00671019"/>
    <w:rsid w:val="0067207B"/>
    <w:rsid w:val="00673534"/>
    <w:rsid w:val="00673A9A"/>
    <w:rsid w:val="00673E6A"/>
    <w:rsid w:val="00675E73"/>
    <w:rsid w:val="0067623B"/>
    <w:rsid w:val="0067648D"/>
    <w:rsid w:val="00677B9A"/>
    <w:rsid w:val="006801B6"/>
    <w:rsid w:val="00680595"/>
    <w:rsid w:val="00680901"/>
    <w:rsid w:val="0068120A"/>
    <w:rsid w:val="0068213F"/>
    <w:rsid w:val="00682397"/>
    <w:rsid w:val="00683215"/>
    <w:rsid w:val="006833DE"/>
    <w:rsid w:val="00683668"/>
    <w:rsid w:val="0068387A"/>
    <w:rsid w:val="00686B52"/>
    <w:rsid w:val="00687E4C"/>
    <w:rsid w:val="00690AF8"/>
    <w:rsid w:val="00690D47"/>
    <w:rsid w:val="00691731"/>
    <w:rsid w:val="00692172"/>
    <w:rsid w:val="006934A5"/>
    <w:rsid w:val="0069359B"/>
    <w:rsid w:val="006945F7"/>
    <w:rsid w:val="006949A1"/>
    <w:rsid w:val="00697145"/>
    <w:rsid w:val="006A0046"/>
    <w:rsid w:val="006A037F"/>
    <w:rsid w:val="006A0A97"/>
    <w:rsid w:val="006A2025"/>
    <w:rsid w:val="006A3492"/>
    <w:rsid w:val="006A52A1"/>
    <w:rsid w:val="006A6F6B"/>
    <w:rsid w:val="006A7FB6"/>
    <w:rsid w:val="006B1074"/>
    <w:rsid w:val="006B1344"/>
    <w:rsid w:val="006B16ED"/>
    <w:rsid w:val="006B496B"/>
    <w:rsid w:val="006B4CC7"/>
    <w:rsid w:val="006B67C7"/>
    <w:rsid w:val="006C1B54"/>
    <w:rsid w:val="006C23C4"/>
    <w:rsid w:val="006C269F"/>
    <w:rsid w:val="006C2D0A"/>
    <w:rsid w:val="006C48A7"/>
    <w:rsid w:val="006C6E60"/>
    <w:rsid w:val="006D070D"/>
    <w:rsid w:val="006D076A"/>
    <w:rsid w:val="006D21D9"/>
    <w:rsid w:val="006D21E1"/>
    <w:rsid w:val="006D5E4E"/>
    <w:rsid w:val="006E0FA8"/>
    <w:rsid w:val="006E2C11"/>
    <w:rsid w:val="006E36B7"/>
    <w:rsid w:val="006E7639"/>
    <w:rsid w:val="006E7976"/>
    <w:rsid w:val="006E7B8D"/>
    <w:rsid w:val="006E7EA1"/>
    <w:rsid w:val="006F229C"/>
    <w:rsid w:val="006F27E9"/>
    <w:rsid w:val="006F2E22"/>
    <w:rsid w:val="006F5756"/>
    <w:rsid w:val="006F5FCA"/>
    <w:rsid w:val="006F637E"/>
    <w:rsid w:val="006F6F50"/>
    <w:rsid w:val="006F73C1"/>
    <w:rsid w:val="006F7AD5"/>
    <w:rsid w:val="00700306"/>
    <w:rsid w:val="00700852"/>
    <w:rsid w:val="00700B24"/>
    <w:rsid w:val="00700F09"/>
    <w:rsid w:val="00701373"/>
    <w:rsid w:val="007019E9"/>
    <w:rsid w:val="00701BBB"/>
    <w:rsid w:val="0070231A"/>
    <w:rsid w:val="00702BC8"/>
    <w:rsid w:val="00702C2E"/>
    <w:rsid w:val="00702E90"/>
    <w:rsid w:val="00702FB8"/>
    <w:rsid w:val="00703587"/>
    <w:rsid w:val="00703CA0"/>
    <w:rsid w:val="0070637F"/>
    <w:rsid w:val="0070698A"/>
    <w:rsid w:val="00706F3F"/>
    <w:rsid w:val="00707362"/>
    <w:rsid w:val="0070741D"/>
    <w:rsid w:val="007078E3"/>
    <w:rsid w:val="00713BC7"/>
    <w:rsid w:val="00713D57"/>
    <w:rsid w:val="007154B6"/>
    <w:rsid w:val="00715E5B"/>
    <w:rsid w:val="007200DD"/>
    <w:rsid w:val="00720CBF"/>
    <w:rsid w:val="00721030"/>
    <w:rsid w:val="0072115F"/>
    <w:rsid w:val="007231D5"/>
    <w:rsid w:val="00726989"/>
    <w:rsid w:val="00727FEB"/>
    <w:rsid w:val="007303B2"/>
    <w:rsid w:val="00732970"/>
    <w:rsid w:val="0073299B"/>
    <w:rsid w:val="00732FBB"/>
    <w:rsid w:val="00735703"/>
    <w:rsid w:val="00735DF6"/>
    <w:rsid w:val="00736341"/>
    <w:rsid w:val="00737106"/>
    <w:rsid w:val="00737173"/>
    <w:rsid w:val="0073755B"/>
    <w:rsid w:val="00737F22"/>
    <w:rsid w:val="00741C2C"/>
    <w:rsid w:val="007425A8"/>
    <w:rsid w:val="007455C0"/>
    <w:rsid w:val="00745925"/>
    <w:rsid w:val="00746301"/>
    <w:rsid w:val="00747BCD"/>
    <w:rsid w:val="0075220F"/>
    <w:rsid w:val="00753486"/>
    <w:rsid w:val="0075404F"/>
    <w:rsid w:val="007544D5"/>
    <w:rsid w:val="007544F3"/>
    <w:rsid w:val="0075490B"/>
    <w:rsid w:val="007565D4"/>
    <w:rsid w:val="00761912"/>
    <w:rsid w:val="00761BAA"/>
    <w:rsid w:val="00762B25"/>
    <w:rsid w:val="007632F7"/>
    <w:rsid w:val="007633AC"/>
    <w:rsid w:val="007654FE"/>
    <w:rsid w:val="0076586F"/>
    <w:rsid w:val="007658AF"/>
    <w:rsid w:val="00766019"/>
    <w:rsid w:val="007660E1"/>
    <w:rsid w:val="00766357"/>
    <w:rsid w:val="00767849"/>
    <w:rsid w:val="007678EA"/>
    <w:rsid w:val="00767CE2"/>
    <w:rsid w:val="007703F9"/>
    <w:rsid w:val="00770B2F"/>
    <w:rsid w:val="0077318E"/>
    <w:rsid w:val="0077469F"/>
    <w:rsid w:val="0077632F"/>
    <w:rsid w:val="007771FF"/>
    <w:rsid w:val="00777D89"/>
    <w:rsid w:val="0078003E"/>
    <w:rsid w:val="00780D10"/>
    <w:rsid w:val="00782FB0"/>
    <w:rsid w:val="00784A50"/>
    <w:rsid w:val="00785266"/>
    <w:rsid w:val="0078617C"/>
    <w:rsid w:val="007866F1"/>
    <w:rsid w:val="00786BBD"/>
    <w:rsid w:val="0078715C"/>
    <w:rsid w:val="0079007B"/>
    <w:rsid w:val="00792946"/>
    <w:rsid w:val="00797EC8"/>
    <w:rsid w:val="007A0648"/>
    <w:rsid w:val="007A112F"/>
    <w:rsid w:val="007A20EB"/>
    <w:rsid w:val="007A3BD5"/>
    <w:rsid w:val="007A4B1F"/>
    <w:rsid w:val="007A5152"/>
    <w:rsid w:val="007A534C"/>
    <w:rsid w:val="007A6D38"/>
    <w:rsid w:val="007A7BA2"/>
    <w:rsid w:val="007B028D"/>
    <w:rsid w:val="007B058F"/>
    <w:rsid w:val="007B0AC9"/>
    <w:rsid w:val="007B1737"/>
    <w:rsid w:val="007B175C"/>
    <w:rsid w:val="007B1B8B"/>
    <w:rsid w:val="007B4346"/>
    <w:rsid w:val="007B4F1F"/>
    <w:rsid w:val="007B5606"/>
    <w:rsid w:val="007B5A16"/>
    <w:rsid w:val="007B5FE9"/>
    <w:rsid w:val="007B6678"/>
    <w:rsid w:val="007B6FA8"/>
    <w:rsid w:val="007B7295"/>
    <w:rsid w:val="007B74D6"/>
    <w:rsid w:val="007B7957"/>
    <w:rsid w:val="007B7B7C"/>
    <w:rsid w:val="007C17ED"/>
    <w:rsid w:val="007C1B1B"/>
    <w:rsid w:val="007C3938"/>
    <w:rsid w:val="007C4B94"/>
    <w:rsid w:val="007C5616"/>
    <w:rsid w:val="007C6DE6"/>
    <w:rsid w:val="007D04B0"/>
    <w:rsid w:val="007D0CCE"/>
    <w:rsid w:val="007D0D3E"/>
    <w:rsid w:val="007D1873"/>
    <w:rsid w:val="007D2DAA"/>
    <w:rsid w:val="007D4CB3"/>
    <w:rsid w:val="007D51D7"/>
    <w:rsid w:val="007D54DF"/>
    <w:rsid w:val="007D5AFE"/>
    <w:rsid w:val="007D7498"/>
    <w:rsid w:val="007E2CC7"/>
    <w:rsid w:val="007E2E0C"/>
    <w:rsid w:val="007E3E5A"/>
    <w:rsid w:val="007E452B"/>
    <w:rsid w:val="007E695C"/>
    <w:rsid w:val="007E7255"/>
    <w:rsid w:val="007E7C00"/>
    <w:rsid w:val="007E7CAB"/>
    <w:rsid w:val="007F000E"/>
    <w:rsid w:val="007F0492"/>
    <w:rsid w:val="007F0958"/>
    <w:rsid w:val="007F0BD4"/>
    <w:rsid w:val="007F0D28"/>
    <w:rsid w:val="007F4159"/>
    <w:rsid w:val="007F4534"/>
    <w:rsid w:val="007F6816"/>
    <w:rsid w:val="00801AA7"/>
    <w:rsid w:val="00802605"/>
    <w:rsid w:val="008037AD"/>
    <w:rsid w:val="00803FEC"/>
    <w:rsid w:val="00807303"/>
    <w:rsid w:val="00807490"/>
    <w:rsid w:val="00810276"/>
    <w:rsid w:val="00814694"/>
    <w:rsid w:val="00814B9F"/>
    <w:rsid w:val="008150DD"/>
    <w:rsid w:val="008153D5"/>
    <w:rsid w:val="00817D57"/>
    <w:rsid w:val="00817D95"/>
    <w:rsid w:val="00820F06"/>
    <w:rsid w:val="0082147B"/>
    <w:rsid w:val="00822BFB"/>
    <w:rsid w:val="008230E8"/>
    <w:rsid w:val="00824A20"/>
    <w:rsid w:val="00827432"/>
    <w:rsid w:val="008276D2"/>
    <w:rsid w:val="008278FB"/>
    <w:rsid w:val="00827D26"/>
    <w:rsid w:val="00831788"/>
    <w:rsid w:val="00831B54"/>
    <w:rsid w:val="00831D20"/>
    <w:rsid w:val="008321F5"/>
    <w:rsid w:val="008321FF"/>
    <w:rsid w:val="008329DC"/>
    <w:rsid w:val="008344C9"/>
    <w:rsid w:val="008365BD"/>
    <w:rsid w:val="00836EB2"/>
    <w:rsid w:val="00837ED9"/>
    <w:rsid w:val="0084054C"/>
    <w:rsid w:val="00841378"/>
    <w:rsid w:val="00841920"/>
    <w:rsid w:val="0084239C"/>
    <w:rsid w:val="008435C8"/>
    <w:rsid w:val="00844119"/>
    <w:rsid w:val="008441B6"/>
    <w:rsid w:val="00845194"/>
    <w:rsid w:val="00845481"/>
    <w:rsid w:val="00845C4E"/>
    <w:rsid w:val="008466D1"/>
    <w:rsid w:val="00852A22"/>
    <w:rsid w:val="00852CF1"/>
    <w:rsid w:val="00853AEE"/>
    <w:rsid w:val="0085649B"/>
    <w:rsid w:val="0085689C"/>
    <w:rsid w:val="0086003C"/>
    <w:rsid w:val="008643CA"/>
    <w:rsid w:val="00864E9E"/>
    <w:rsid w:val="00870C0D"/>
    <w:rsid w:val="00872CE2"/>
    <w:rsid w:val="00873020"/>
    <w:rsid w:val="0087323E"/>
    <w:rsid w:val="00881327"/>
    <w:rsid w:val="00881FDC"/>
    <w:rsid w:val="008823DA"/>
    <w:rsid w:val="00882B87"/>
    <w:rsid w:val="008846E0"/>
    <w:rsid w:val="00884AA5"/>
    <w:rsid w:val="00885302"/>
    <w:rsid w:val="008864CA"/>
    <w:rsid w:val="00891C83"/>
    <w:rsid w:val="00892B19"/>
    <w:rsid w:val="00892DA8"/>
    <w:rsid w:val="008949F1"/>
    <w:rsid w:val="008950D3"/>
    <w:rsid w:val="0089539A"/>
    <w:rsid w:val="00897F04"/>
    <w:rsid w:val="008A199E"/>
    <w:rsid w:val="008A203E"/>
    <w:rsid w:val="008A27EE"/>
    <w:rsid w:val="008A29DB"/>
    <w:rsid w:val="008A2EF3"/>
    <w:rsid w:val="008A3B3B"/>
    <w:rsid w:val="008A4F0D"/>
    <w:rsid w:val="008A60FD"/>
    <w:rsid w:val="008A7297"/>
    <w:rsid w:val="008A73A4"/>
    <w:rsid w:val="008B12EA"/>
    <w:rsid w:val="008B2384"/>
    <w:rsid w:val="008B62CA"/>
    <w:rsid w:val="008B74CB"/>
    <w:rsid w:val="008C024F"/>
    <w:rsid w:val="008C144B"/>
    <w:rsid w:val="008C349D"/>
    <w:rsid w:val="008C4397"/>
    <w:rsid w:val="008C4841"/>
    <w:rsid w:val="008C4D0B"/>
    <w:rsid w:val="008C6D79"/>
    <w:rsid w:val="008C6FF4"/>
    <w:rsid w:val="008C7302"/>
    <w:rsid w:val="008D06D6"/>
    <w:rsid w:val="008D0C24"/>
    <w:rsid w:val="008D16E7"/>
    <w:rsid w:val="008D1B45"/>
    <w:rsid w:val="008D262F"/>
    <w:rsid w:val="008D39AD"/>
    <w:rsid w:val="008D39FB"/>
    <w:rsid w:val="008D3B99"/>
    <w:rsid w:val="008D4172"/>
    <w:rsid w:val="008D4326"/>
    <w:rsid w:val="008D616E"/>
    <w:rsid w:val="008D62FE"/>
    <w:rsid w:val="008D64F6"/>
    <w:rsid w:val="008D6A31"/>
    <w:rsid w:val="008D7B5B"/>
    <w:rsid w:val="008D7CAF"/>
    <w:rsid w:val="008E03CD"/>
    <w:rsid w:val="008E1AA5"/>
    <w:rsid w:val="008E2073"/>
    <w:rsid w:val="008E21CE"/>
    <w:rsid w:val="008E446A"/>
    <w:rsid w:val="008E582F"/>
    <w:rsid w:val="008E6462"/>
    <w:rsid w:val="008F0895"/>
    <w:rsid w:val="008F08DD"/>
    <w:rsid w:val="008F0A1C"/>
    <w:rsid w:val="008F147F"/>
    <w:rsid w:val="008F2074"/>
    <w:rsid w:val="008F398D"/>
    <w:rsid w:val="008F4920"/>
    <w:rsid w:val="008F517F"/>
    <w:rsid w:val="008F550B"/>
    <w:rsid w:val="008F560B"/>
    <w:rsid w:val="008F5ECC"/>
    <w:rsid w:val="008F654C"/>
    <w:rsid w:val="008F7C41"/>
    <w:rsid w:val="0090130F"/>
    <w:rsid w:val="00901BBE"/>
    <w:rsid w:val="00902B5F"/>
    <w:rsid w:val="0090339B"/>
    <w:rsid w:val="00903CAC"/>
    <w:rsid w:val="00904977"/>
    <w:rsid w:val="009051AA"/>
    <w:rsid w:val="00906B48"/>
    <w:rsid w:val="0090796E"/>
    <w:rsid w:val="0091034F"/>
    <w:rsid w:val="00910B31"/>
    <w:rsid w:val="00912342"/>
    <w:rsid w:val="009125A5"/>
    <w:rsid w:val="009132D0"/>
    <w:rsid w:val="00913FF8"/>
    <w:rsid w:val="009140AC"/>
    <w:rsid w:val="0091573F"/>
    <w:rsid w:val="00917152"/>
    <w:rsid w:val="009174AB"/>
    <w:rsid w:val="00917F2B"/>
    <w:rsid w:val="0092051D"/>
    <w:rsid w:val="00921585"/>
    <w:rsid w:val="00921D19"/>
    <w:rsid w:val="00921FFA"/>
    <w:rsid w:val="00922CA5"/>
    <w:rsid w:val="009231E9"/>
    <w:rsid w:val="0092335F"/>
    <w:rsid w:val="0092367A"/>
    <w:rsid w:val="00925531"/>
    <w:rsid w:val="00925886"/>
    <w:rsid w:val="00925FFB"/>
    <w:rsid w:val="00926E79"/>
    <w:rsid w:val="00927225"/>
    <w:rsid w:val="00930545"/>
    <w:rsid w:val="009305A8"/>
    <w:rsid w:val="00933379"/>
    <w:rsid w:val="0093430D"/>
    <w:rsid w:val="00934C8C"/>
    <w:rsid w:val="009359B7"/>
    <w:rsid w:val="0094018D"/>
    <w:rsid w:val="00940B88"/>
    <w:rsid w:val="009431B3"/>
    <w:rsid w:val="00944307"/>
    <w:rsid w:val="0094445B"/>
    <w:rsid w:val="0094573E"/>
    <w:rsid w:val="00945CBF"/>
    <w:rsid w:val="00945E4E"/>
    <w:rsid w:val="009502FE"/>
    <w:rsid w:val="009525F6"/>
    <w:rsid w:val="00953545"/>
    <w:rsid w:val="009537A4"/>
    <w:rsid w:val="00955485"/>
    <w:rsid w:val="00956505"/>
    <w:rsid w:val="00956927"/>
    <w:rsid w:val="009601D0"/>
    <w:rsid w:val="00961DDA"/>
    <w:rsid w:val="009629E7"/>
    <w:rsid w:val="009659E7"/>
    <w:rsid w:val="00965BA4"/>
    <w:rsid w:val="00965C52"/>
    <w:rsid w:val="00965EE5"/>
    <w:rsid w:val="00966E2B"/>
    <w:rsid w:val="00971461"/>
    <w:rsid w:val="00975056"/>
    <w:rsid w:val="00975381"/>
    <w:rsid w:val="00976663"/>
    <w:rsid w:val="00977F08"/>
    <w:rsid w:val="009819D1"/>
    <w:rsid w:val="00981CB6"/>
    <w:rsid w:val="00982DFB"/>
    <w:rsid w:val="00983020"/>
    <w:rsid w:val="00984F32"/>
    <w:rsid w:val="00986516"/>
    <w:rsid w:val="00986B25"/>
    <w:rsid w:val="0098766B"/>
    <w:rsid w:val="00990B21"/>
    <w:rsid w:val="00991B2A"/>
    <w:rsid w:val="009920D8"/>
    <w:rsid w:val="0099393F"/>
    <w:rsid w:val="009945BF"/>
    <w:rsid w:val="00994F91"/>
    <w:rsid w:val="00996C4A"/>
    <w:rsid w:val="009971A8"/>
    <w:rsid w:val="009A12C7"/>
    <w:rsid w:val="009A1AB7"/>
    <w:rsid w:val="009A24DE"/>
    <w:rsid w:val="009A2675"/>
    <w:rsid w:val="009A2D51"/>
    <w:rsid w:val="009A3491"/>
    <w:rsid w:val="009A4202"/>
    <w:rsid w:val="009A7EEA"/>
    <w:rsid w:val="009B09B8"/>
    <w:rsid w:val="009B1FA5"/>
    <w:rsid w:val="009B2ECA"/>
    <w:rsid w:val="009B7351"/>
    <w:rsid w:val="009B7C1C"/>
    <w:rsid w:val="009B7D2C"/>
    <w:rsid w:val="009C27FE"/>
    <w:rsid w:val="009C2BE0"/>
    <w:rsid w:val="009C3BFC"/>
    <w:rsid w:val="009C564A"/>
    <w:rsid w:val="009C588D"/>
    <w:rsid w:val="009C7C0A"/>
    <w:rsid w:val="009D16D8"/>
    <w:rsid w:val="009D2076"/>
    <w:rsid w:val="009D2177"/>
    <w:rsid w:val="009D3D36"/>
    <w:rsid w:val="009D43C2"/>
    <w:rsid w:val="009D4CB3"/>
    <w:rsid w:val="009D5C7A"/>
    <w:rsid w:val="009D6A9B"/>
    <w:rsid w:val="009D6C1E"/>
    <w:rsid w:val="009D7C75"/>
    <w:rsid w:val="009E03F7"/>
    <w:rsid w:val="009E2C88"/>
    <w:rsid w:val="009E4265"/>
    <w:rsid w:val="009E581F"/>
    <w:rsid w:val="009E5BB0"/>
    <w:rsid w:val="009E6296"/>
    <w:rsid w:val="009E69D3"/>
    <w:rsid w:val="009E707F"/>
    <w:rsid w:val="009E7489"/>
    <w:rsid w:val="009F07CB"/>
    <w:rsid w:val="009F11A6"/>
    <w:rsid w:val="009F1688"/>
    <w:rsid w:val="009F3674"/>
    <w:rsid w:val="009F3B6A"/>
    <w:rsid w:val="009F3B83"/>
    <w:rsid w:val="009F4759"/>
    <w:rsid w:val="009F4CA2"/>
    <w:rsid w:val="009F5644"/>
    <w:rsid w:val="009F6291"/>
    <w:rsid w:val="00A00683"/>
    <w:rsid w:val="00A01234"/>
    <w:rsid w:val="00A012AA"/>
    <w:rsid w:val="00A01A06"/>
    <w:rsid w:val="00A037C2"/>
    <w:rsid w:val="00A03EC8"/>
    <w:rsid w:val="00A03FE0"/>
    <w:rsid w:val="00A04E91"/>
    <w:rsid w:val="00A06727"/>
    <w:rsid w:val="00A06D88"/>
    <w:rsid w:val="00A07177"/>
    <w:rsid w:val="00A07416"/>
    <w:rsid w:val="00A07F0A"/>
    <w:rsid w:val="00A11538"/>
    <w:rsid w:val="00A12267"/>
    <w:rsid w:val="00A134D4"/>
    <w:rsid w:val="00A13969"/>
    <w:rsid w:val="00A13DEA"/>
    <w:rsid w:val="00A14A13"/>
    <w:rsid w:val="00A15EED"/>
    <w:rsid w:val="00A16F5E"/>
    <w:rsid w:val="00A17F81"/>
    <w:rsid w:val="00A20637"/>
    <w:rsid w:val="00A20EFB"/>
    <w:rsid w:val="00A20FA6"/>
    <w:rsid w:val="00A21A45"/>
    <w:rsid w:val="00A24EB3"/>
    <w:rsid w:val="00A26E8A"/>
    <w:rsid w:val="00A27CB8"/>
    <w:rsid w:val="00A30200"/>
    <w:rsid w:val="00A30769"/>
    <w:rsid w:val="00A30BB6"/>
    <w:rsid w:val="00A31338"/>
    <w:rsid w:val="00A313DD"/>
    <w:rsid w:val="00A315B2"/>
    <w:rsid w:val="00A31DDD"/>
    <w:rsid w:val="00A329BE"/>
    <w:rsid w:val="00A33E7A"/>
    <w:rsid w:val="00A34A6F"/>
    <w:rsid w:val="00A35453"/>
    <w:rsid w:val="00A3567E"/>
    <w:rsid w:val="00A3586C"/>
    <w:rsid w:val="00A35E4F"/>
    <w:rsid w:val="00A364A8"/>
    <w:rsid w:val="00A400C4"/>
    <w:rsid w:val="00A40A9E"/>
    <w:rsid w:val="00A41C9D"/>
    <w:rsid w:val="00A423ED"/>
    <w:rsid w:val="00A43988"/>
    <w:rsid w:val="00A43AF9"/>
    <w:rsid w:val="00A451F0"/>
    <w:rsid w:val="00A4569E"/>
    <w:rsid w:val="00A46626"/>
    <w:rsid w:val="00A47A60"/>
    <w:rsid w:val="00A50AAF"/>
    <w:rsid w:val="00A5181D"/>
    <w:rsid w:val="00A52704"/>
    <w:rsid w:val="00A55029"/>
    <w:rsid w:val="00A55E13"/>
    <w:rsid w:val="00A56C15"/>
    <w:rsid w:val="00A573F8"/>
    <w:rsid w:val="00A57A5E"/>
    <w:rsid w:val="00A6040F"/>
    <w:rsid w:val="00A61B3D"/>
    <w:rsid w:val="00A623B4"/>
    <w:rsid w:val="00A62A36"/>
    <w:rsid w:val="00A635FC"/>
    <w:rsid w:val="00A63863"/>
    <w:rsid w:val="00A63914"/>
    <w:rsid w:val="00A639ED"/>
    <w:rsid w:val="00A63EF4"/>
    <w:rsid w:val="00A64326"/>
    <w:rsid w:val="00A66D9A"/>
    <w:rsid w:val="00A67DF5"/>
    <w:rsid w:val="00A711EA"/>
    <w:rsid w:val="00A712C5"/>
    <w:rsid w:val="00A718E6"/>
    <w:rsid w:val="00A71D81"/>
    <w:rsid w:val="00A71EE8"/>
    <w:rsid w:val="00A7480D"/>
    <w:rsid w:val="00A80489"/>
    <w:rsid w:val="00A8082B"/>
    <w:rsid w:val="00A80F07"/>
    <w:rsid w:val="00A8105C"/>
    <w:rsid w:val="00A84DF2"/>
    <w:rsid w:val="00A85490"/>
    <w:rsid w:val="00A8570F"/>
    <w:rsid w:val="00A865EC"/>
    <w:rsid w:val="00A9051C"/>
    <w:rsid w:val="00A91985"/>
    <w:rsid w:val="00A928AF"/>
    <w:rsid w:val="00A94997"/>
    <w:rsid w:val="00A9642E"/>
    <w:rsid w:val="00A96A45"/>
    <w:rsid w:val="00A96D15"/>
    <w:rsid w:val="00A97357"/>
    <w:rsid w:val="00A97CF0"/>
    <w:rsid w:val="00AA0A92"/>
    <w:rsid w:val="00AA0D59"/>
    <w:rsid w:val="00AA0F8C"/>
    <w:rsid w:val="00AA1403"/>
    <w:rsid w:val="00AA29F9"/>
    <w:rsid w:val="00AA2C81"/>
    <w:rsid w:val="00AA2FE8"/>
    <w:rsid w:val="00AA38F9"/>
    <w:rsid w:val="00AA3FAA"/>
    <w:rsid w:val="00AA4420"/>
    <w:rsid w:val="00AA4554"/>
    <w:rsid w:val="00AA4799"/>
    <w:rsid w:val="00AA5CE5"/>
    <w:rsid w:val="00AA6F8B"/>
    <w:rsid w:val="00AA7EDF"/>
    <w:rsid w:val="00AB0A4B"/>
    <w:rsid w:val="00AB1903"/>
    <w:rsid w:val="00AB3792"/>
    <w:rsid w:val="00AB3F8A"/>
    <w:rsid w:val="00AB5EBA"/>
    <w:rsid w:val="00AB6918"/>
    <w:rsid w:val="00AB6B93"/>
    <w:rsid w:val="00AC07F1"/>
    <w:rsid w:val="00AC1654"/>
    <w:rsid w:val="00AC3621"/>
    <w:rsid w:val="00AC408D"/>
    <w:rsid w:val="00AC4BF3"/>
    <w:rsid w:val="00AC5C81"/>
    <w:rsid w:val="00AC5DFB"/>
    <w:rsid w:val="00AC6DC7"/>
    <w:rsid w:val="00AC6F2C"/>
    <w:rsid w:val="00AC7FD0"/>
    <w:rsid w:val="00AD0221"/>
    <w:rsid w:val="00AD0516"/>
    <w:rsid w:val="00AD3B03"/>
    <w:rsid w:val="00AD3FD9"/>
    <w:rsid w:val="00AD5482"/>
    <w:rsid w:val="00AD6E95"/>
    <w:rsid w:val="00AD7004"/>
    <w:rsid w:val="00AD7585"/>
    <w:rsid w:val="00AE0139"/>
    <w:rsid w:val="00AE1FA3"/>
    <w:rsid w:val="00AE2983"/>
    <w:rsid w:val="00AE29F0"/>
    <w:rsid w:val="00AE34F4"/>
    <w:rsid w:val="00AE6DCC"/>
    <w:rsid w:val="00AE71A9"/>
    <w:rsid w:val="00AE7E93"/>
    <w:rsid w:val="00AF228C"/>
    <w:rsid w:val="00AF22A2"/>
    <w:rsid w:val="00AF2D7E"/>
    <w:rsid w:val="00AF2FA8"/>
    <w:rsid w:val="00AF574D"/>
    <w:rsid w:val="00AF5BC5"/>
    <w:rsid w:val="00AF63DF"/>
    <w:rsid w:val="00AF7CB0"/>
    <w:rsid w:val="00B00B11"/>
    <w:rsid w:val="00B01643"/>
    <w:rsid w:val="00B01836"/>
    <w:rsid w:val="00B02B25"/>
    <w:rsid w:val="00B02B47"/>
    <w:rsid w:val="00B04C76"/>
    <w:rsid w:val="00B05383"/>
    <w:rsid w:val="00B05F7A"/>
    <w:rsid w:val="00B06290"/>
    <w:rsid w:val="00B11A32"/>
    <w:rsid w:val="00B11B14"/>
    <w:rsid w:val="00B11B1B"/>
    <w:rsid w:val="00B121D1"/>
    <w:rsid w:val="00B13C2D"/>
    <w:rsid w:val="00B14819"/>
    <w:rsid w:val="00B14F5E"/>
    <w:rsid w:val="00B15334"/>
    <w:rsid w:val="00B15C2B"/>
    <w:rsid w:val="00B17BFA"/>
    <w:rsid w:val="00B20B44"/>
    <w:rsid w:val="00B213DB"/>
    <w:rsid w:val="00B229DE"/>
    <w:rsid w:val="00B22F82"/>
    <w:rsid w:val="00B24B3C"/>
    <w:rsid w:val="00B24CD2"/>
    <w:rsid w:val="00B2580F"/>
    <w:rsid w:val="00B25CD1"/>
    <w:rsid w:val="00B263A4"/>
    <w:rsid w:val="00B272CF"/>
    <w:rsid w:val="00B27B25"/>
    <w:rsid w:val="00B3099F"/>
    <w:rsid w:val="00B31F07"/>
    <w:rsid w:val="00B3341A"/>
    <w:rsid w:val="00B33663"/>
    <w:rsid w:val="00B4089F"/>
    <w:rsid w:val="00B4172E"/>
    <w:rsid w:val="00B4175E"/>
    <w:rsid w:val="00B43B8B"/>
    <w:rsid w:val="00B43F9F"/>
    <w:rsid w:val="00B449E8"/>
    <w:rsid w:val="00B44DEC"/>
    <w:rsid w:val="00B456BB"/>
    <w:rsid w:val="00B46999"/>
    <w:rsid w:val="00B474F1"/>
    <w:rsid w:val="00B504C3"/>
    <w:rsid w:val="00B50710"/>
    <w:rsid w:val="00B513CF"/>
    <w:rsid w:val="00B5184B"/>
    <w:rsid w:val="00B52A96"/>
    <w:rsid w:val="00B5355E"/>
    <w:rsid w:val="00B53944"/>
    <w:rsid w:val="00B54722"/>
    <w:rsid w:val="00B62AE5"/>
    <w:rsid w:val="00B62B38"/>
    <w:rsid w:val="00B635F3"/>
    <w:rsid w:val="00B6389C"/>
    <w:rsid w:val="00B654D2"/>
    <w:rsid w:val="00B66F61"/>
    <w:rsid w:val="00B672D9"/>
    <w:rsid w:val="00B7102D"/>
    <w:rsid w:val="00B7123E"/>
    <w:rsid w:val="00B714D2"/>
    <w:rsid w:val="00B71C39"/>
    <w:rsid w:val="00B71DF8"/>
    <w:rsid w:val="00B73171"/>
    <w:rsid w:val="00B7329B"/>
    <w:rsid w:val="00B74714"/>
    <w:rsid w:val="00B74CFE"/>
    <w:rsid w:val="00B759FB"/>
    <w:rsid w:val="00B777DB"/>
    <w:rsid w:val="00B8066A"/>
    <w:rsid w:val="00B819F0"/>
    <w:rsid w:val="00B82025"/>
    <w:rsid w:val="00B824E1"/>
    <w:rsid w:val="00B833B7"/>
    <w:rsid w:val="00B84D8D"/>
    <w:rsid w:val="00B90F01"/>
    <w:rsid w:val="00B9197F"/>
    <w:rsid w:val="00B93C8F"/>
    <w:rsid w:val="00B95075"/>
    <w:rsid w:val="00B950CD"/>
    <w:rsid w:val="00B96012"/>
    <w:rsid w:val="00B966A7"/>
    <w:rsid w:val="00BA1305"/>
    <w:rsid w:val="00BA18E9"/>
    <w:rsid w:val="00BA3A43"/>
    <w:rsid w:val="00BA3CA7"/>
    <w:rsid w:val="00BA4390"/>
    <w:rsid w:val="00BA4588"/>
    <w:rsid w:val="00BA53C2"/>
    <w:rsid w:val="00BA54E9"/>
    <w:rsid w:val="00BB0289"/>
    <w:rsid w:val="00BB0898"/>
    <w:rsid w:val="00BB394C"/>
    <w:rsid w:val="00BB573D"/>
    <w:rsid w:val="00BB63EB"/>
    <w:rsid w:val="00BB6CFE"/>
    <w:rsid w:val="00BB795F"/>
    <w:rsid w:val="00BB7FE5"/>
    <w:rsid w:val="00BC0B45"/>
    <w:rsid w:val="00BC0F84"/>
    <w:rsid w:val="00BC1274"/>
    <w:rsid w:val="00BC1D3F"/>
    <w:rsid w:val="00BC247D"/>
    <w:rsid w:val="00BC3352"/>
    <w:rsid w:val="00BC690E"/>
    <w:rsid w:val="00BC6A4C"/>
    <w:rsid w:val="00BC7419"/>
    <w:rsid w:val="00BD09D5"/>
    <w:rsid w:val="00BD27A1"/>
    <w:rsid w:val="00BD2C63"/>
    <w:rsid w:val="00BD31D0"/>
    <w:rsid w:val="00BD3842"/>
    <w:rsid w:val="00BD5640"/>
    <w:rsid w:val="00BD60CC"/>
    <w:rsid w:val="00BD70EE"/>
    <w:rsid w:val="00BD7822"/>
    <w:rsid w:val="00BE01B3"/>
    <w:rsid w:val="00BE0435"/>
    <w:rsid w:val="00BE184B"/>
    <w:rsid w:val="00BE20C1"/>
    <w:rsid w:val="00BE3173"/>
    <w:rsid w:val="00BE3D91"/>
    <w:rsid w:val="00BE614E"/>
    <w:rsid w:val="00BE6A6F"/>
    <w:rsid w:val="00BE7B1F"/>
    <w:rsid w:val="00BE7D07"/>
    <w:rsid w:val="00BF0874"/>
    <w:rsid w:val="00BF104E"/>
    <w:rsid w:val="00BF11DC"/>
    <w:rsid w:val="00BF196C"/>
    <w:rsid w:val="00BF34E3"/>
    <w:rsid w:val="00BF4879"/>
    <w:rsid w:val="00BF4C64"/>
    <w:rsid w:val="00BF5CA6"/>
    <w:rsid w:val="00BF66B0"/>
    <w:rsid w:val="00BF6B40"/>
    <w:rsid w:val="00C022A5"/>
    <w:rsid w:val="00C022BA"/>
    <w:rsid w:val="00C02976"/>
    <w:rsid w:val="00C02B5F"/>
    <w:rsid w:val="00C03176"/>
    <w:rsid w:val="00C040B2"/>
    <w:rsid w:val="00C04BDC"/>
    <w:rsid w:val="00C05175"/>
    <w:rsid w:val="00C05DAA"/>
    <w:rsid w:val="00C06D2D"/>
    <w:rsid w:val="00C06F07"/>
    <w:rsid w:val="00C070D2"/>
    <w:rsid w:val="00C07ED5"/>
    <w:rsid w:val="00C10176"/>
    <w:rsid w:val="00C1109C"/>
    <w:rsid w:val="00C116EE"/>
    <w:rsid w:val="00C116F1"/>
    <w:rsid w:val="00C120FC"/>
    <w:rsid w:val="00C150FD"/>
    <w:rsid w:val="00C15D95"/>
    <w:rsid w:val="00C16792"/>
    <w:rsid w:val="00C1757F"/>
    <w:rsid w:val="00C17926"/>
    <w:rsid w:val="00C208FE"/>
    <w:rsid w:val="00C21A6E"/>
    <w:rsid w:val="00C228F2"/>
    <w:rsid w:val="00C22D4B"/>
    <w:rsid w:val="00C237B2"/>
    <w:rsid w:val="00C2380B"/>
    <w:rsid w:val="00C251D8"/>
    <w:rsid w:val="00C254E3"/>
    <w:rsid w:val="00C25AF8"/>
    <w:rsid w:val="00C26D49"/>
    <w:rsid w:val="00C271B6"/>
    <w:rsid w:val="00C3143C"/>
    <w:rsid w:val="00C31F22"/>
    <w:rsid w:val="00C3252F"/>
    <w:rsid w:val="00C336E5"/>
    <w:rsid w:val="00C33C90"/>
    <w:rsid w:val="00C35386"/>
    <w:rsid w:val="00C371E6"/>
    <w:rsid w:val="00C40788"/>
    <w:rsid w:val="00C41A82"/>
    <w:rsid w:val="00C43D5B"/>
    <w:rsid w:val="00C44E9B"/>
    <w:rsid w:val="00C45A57"/>
    <w:rsid w:val="00C5038A"/>
    <w:rsid w:val="00C50902"/>
    <w:rsid w:val="00C51693"/>
    <w:rsid w:val="00C54119"/>
    <w:rsid w:val="00C54BFC"/>
    <w:rsid w:val="00C558CE"/>
    <w:rsid w:val="00C55AC0"/>
    <w:rsid w:val="00C55C0E"/>
    <w:rsid w:val="00C608C3"/>
    <w:rsid w:val="00C61995"/>
    <w:rsid w:val="00C62DCF"/>
    <w:rsid w:val="00C64E67"/>
    <w:rsid w:val="00C66792"/>
    <w:rsid w:val="00C668DC"/>
    <w:rsid w:val="00C7070C"/>
    <w:rsid w:val="00C719D2"/>
    <w:rsid w:val="00C72012"/>
    <w:rsid w:val="00C72C7D"/>
    <w:rsid w:val="00C73DB6"/>
    <w:rsid w:val="00C7457C"/>
    <w:rsid w:val="00C74588"/>
    <w:rsid w:val="00C74AFD"/>
    <w:rsid w:val="00C74FF7"/>
    <w:rsid w:val="00C75463"/>
    <w:rsid w:val="00C7569D"/>
    <w:rsid w:val="00C764B9"/>
    <w:rsid w:val="00C7725E"/>
    <w:rsid w:val="00C7797A"/>
    <w:rsid w:val="00C81643"/>
    <w:rsid w:val="00C83327"/>
    <w:rsid w:val="00C83772"/>
    <w:rsid w:val="00C83EEA"/>
    <w:rsid w:val="00C84731"/>
    <w:rsid w:val="00C85AE1"/>
    <w:rsid w:val="00C86AC9"/>
    <w:rsid w:val="00C86E27"/>
    <w:rsid w:val="00C878DE"/>
    <w:rsid w:val="00C904CF"/>
    <w:rsid w:val="00C90B3C"/>
    <w:rsid w:val="00C917E0"/>
    <w:rsid w:val="00C92A68"/>
    <w:rsid w:val="00C92EAB"/>
    <w:rsid w:val="00C94D35"/>
    <w:rsid w:val="00C951DF"/>
    <w:rsid w:val="00C95C6A"/>
    <w:rsid w:val="00C9665C"/>
    <w:rsid w:val="00C96972"/>
    <w:rsid w:val="00CA035E"/>
    <w:rsid w:val="00CA178C"/>
    <w:rsid w:val="00CA38EC"/>
    <w:rsid w:val="00CA443E"/>
    <w:rsid w:val="00CA673F"/>
    <w:rsid w:val="00CA6B13"/>
    <w:rsid w:val="00CA740A"/>
    <w:rsid w:val="00CB0818"/>
    <w:rsid w:val="00CB108B"/>
    <w:rsid w:val="00CB2251"/>
    <w:rsid w:val="00CB27FA"/>
    <w:rsid w:val="00CB2808"/>
    <w:rsid w:val="00CB2E81"/>
    <w:rsid w:val="00CB3C90"/>
    <w:rsid w:val="00CB4118"/>
    <w:rsid w:val="00CB4183"/>
    <w:rsid w:val="00CB4736"/>
    <w:rsid w:val="00CB4E17"/>
    <w:rsid w:val="00CB5B1A"/>
    <w:rsid w:val="00CB6E06"/>
    <w:rsid w:val="00CB7E20"/>
    <w:rsid w:val="00CC1DDD"/>
    <w:rsid w:val="00CC42E1"/>
    <w:rsid w:val="00CC472A"/>
    <w:rsid w:val="00CC5411"/>
    <w:rsid w:val="00CC6470"/>
    <w:rsid w:val="00CC7560"/>
    <w:rsid w:val="00CC7BF9"/>
    <w:rsid w:val="00CD0378"/>
    <w:rsid w:val="00CD040D"/>
    <w:rsid w:val="00CD1639"/>
    <w:rsid w:val="00CD17C8"/>
    <w:rsid w:val="00CD28E2"/>
    <w:rsid w:val="00CD33B7"/>
    <w:rsid w:val="00CD361D"/>
    <w:rsid w:val="00CD3BC5"/>
    <w:rsid w:val="00CD526D"/>
    <w:rsid w:val="00CD65C2"/>
    <w:rsid w:val="00CD6E40"/>
    <w:rsid w:val="00CD7EB1"/>
    <w:rsid w:val="00CE0A35"/>
    <w:rsid w:val="00CE27FC"/>
    <w:rsid w:val="00CE2E38"/>
    <w:rsid w:val="00CE2F39"/>
    <w:rsid w:val="00CE323C"/>
    <w:rsid w:val="00CE3299"/>
    <w:rsid w:val="00CE58CA"/>
    <w:rsid w:val="00CE5CA8"/>
    <w:rsid w:val="00CE5D82"/>
    <w:rsid w:val="00CE623B"/>
    <w:rsid w:val="00CE6388"/>
    <w:rsid w:val="00CE7597"/>
    <w:rsid w:val="00CE78CF"/>
    <w:rsid w:val="00CF09AD"/>
    <w:rsid w:val="00CF149D"/>
    <w:rsid w:val="00CF2635"/>
    <w:rsid w:val="00CF2BFD"/>
    <w:rsid w:val="00CF321E"/>
    <w:rsid w:val="00CF339A"/>
    <w:rsid w:val="00CF42D0"/>
    <w:rsid w:val="00CF4707"/>
    <w:rsid w:val="00CF76E3"/>
    <w:rsid w:val="00CF7D6D"/>
    <w:rsid w:val="00D000FE"/>
    <w:rsid w:val="00D03B43"/>
    <w:rsid w:val="00D03F80"/>
    <w:rsid w:val="00D05E9C"/>
    <w:rsid w:val="00D06887"/>
    <w:rsid w:val="00D10C09"/>
    <w:rsid w:val="00D1153D"/>
    <w:rsid w:val="00D116FC"/>
    <w:rsid w:val="00D11FD8"/>
    <w:rsid w:val="00D13000"/>
    <w:rsid w:val="00D15177"/>
    <w:rsid w:val="00D15470"/>
    <w:rsid w:val="00D1574A"/>
    <w:rsid w:val="00D21283"/>
    <w:rsid w:val="00D2234C"/>
    <w:rsid w:val="00D22F58"/>
    <w:rsid w:val="00D23591"/>
    <w:rsid w:val="00D24916"/>
    <w:rsid w:val="00D25ADF"/>
    <w:rsid w:val="00D260EF"/>
    <w:rsid w:val="00D269BB"/>
    <w:rsid w:val="00D27052"/>
    <w:rsid w:val="00D27165"/>
    <w:rsid w:val="00D275E8"/>
    <w:rsid w:val="00D27BE7"/>
    <w:rsid w:val="00D27D62"/>
    <w:rsid w:val="00D32389"/>
    <w:rsid w:val="00D32844"/>
    <w:rsid w:val="00D335F0"/>
    <w:rsid w:val="00D3387F"/>
    <w:rsid w:val="00D33A0F"/>
    <w:rsid w:val="00D3494E"/>
    <w:rsid w:val="00D34F15"/>
    <w:rsid w:val="00D36541"/>
    <w:rsid w:val="00D37E70"/>
    <w:rsid w:val="00D40542"/>
    <w:rsid w:val="00D426F8"/>
    <w:rsid w:val="00D45CDB"/>
    <w:rsid w:val="00D460D5"/>
    <w:rsid w:val="00D5007C"/>
    <w:rsid w:val="00D51CC9"/>
    <w:rsid w:val="00D5204D"/>
    <w:rsid w:val="00D52622"/>
    <w:rsid w:val="00D53E73"/>
    <w:rsid w:val="00D54156"/>
    <w:rsid w:val="00D550D5"/>
    <w:rsid w:val="00D557B5"/>
    <w:rsid w:val="00D562B0"/>
    <w:rsid w:val="00D56EFA"/>
    <w:rsid w:val="00D575AC"/>
    <w:rsid w:val="00D575DB"/>
    <w:rsid w:val="00D57EB9"/>
    <w:rsid w:val="00D61BFE"/>
    <w:rsid w:val="00D62737"/>
    <w:rsid w:val="00D63263"/>
    <w:rsid w:val="00D644BB"/>
    <w:rsid w:val="00D6630B"/>
    <w:rsid w:val="00D67A4D"/>
    <w:rsid w:val="00D713E6"/>
    <w:rsid w:val="00D71932"/>
    <w:rsid w:val="00D721A5"/>
    <w:rsid w:val="00D7299A"/>
    <w:rsid w:val="00D729AE"/>
    <w:rsid w:val="00D72BE5"/>
    <w:rsid w:val="00D72F1D"/>
    <w:rsid w:val="00D74710"/>
    <w:rsid w:val="00D7544A"/>
    <w:rsid w:val="00D770E1"/>
    <w:rsid w:val="00D77EC7"/>
    <w:rsid w:val="00D802DB"/>
    <w:rsid w:val="00D80884"/>
    <w:rsid w:val="00D8114D"/>
    <w:rsid w:val="00D81430"/>
    <w:rsid w:val="00D8203D"/>
    <w:rsid w:val="00D83C4E"/>
    <w:rsid w:val="00D8539B"/>
    <w:rsid w:val="00D85C68"/>
    <w:rsid w:val="00D868DB"/>
    <w:rsid w:val="00D86B7D"/>
    <w:rsid w:val="00D86EF3"/>
    <w:rsid w:val="00D875C5"/>
    <w:rsid w:val="00D90AD7"/>
    <w:rsid w:val="00D9148D"/>
    <w:rsid w:val="00D91F94"/>
    <w:rsid w:val="00D924D3"/>
    <w:rsid w:val="00D94120"/>
    <w:rsid w:val="00D942D6"/>
    <w:rsid w:val="00D94FB9"/>
    <w:rsid w:val="00D95313"/>
    <w:rsid w:val="00D96B47"/>
    <w:rsid w:val="00D96BB7"/>
    <w:rsid w:val="00D96E81"/>
    <w:rsid w:val="00D97C38"/>
    <w:rsid w:val="00DA0D00"/>
    <w:rsid w:val="00DA11EB"/>
    <w:rsid w:val="00DA19F6"/>
    <w:rsid w:val="00DA208A"/>
    <w:rsid w:val="00DA46B0"/>
    <w:rsid w:val="00DA4782"/>
    <w:rsid w:val="00DA6A2A"/>
    <w:rsid w:val="00DA7332"/>
    <w:rsid w:val="00DB09BA"/>
    <w:rsid w:val="00DB19A9"/>
    <w:rsid w:val="00DB19E0"/>
    <w:rsid w:val="00DB4226"/>
    <w:rsid w:val="00DB5A9C"/>
    <w:rsid w:val="00DB6B77"/>
    <w:rsid w:val="00DB6CFC"/>
    <w:rsid w:val="00DB7EA3"/>
    <w:rsid w:val="00DC0682"/>
    <w:rsid w:val="00DC0793"/>
    <w:rsid w:val="00DC14EA"/>
    <w:rsid w:val="00DC17AD"/>
    <w:rsid w:val="00DC2EB3"/>
    <w:rsid w:val="00DC3959"/>
    <w:rsid w:val="00DC55CE"/>
    <w:rsid w:val="00DC55E8"/>
    <w:rsid w:val="00DC67D3"/>
    <w:rsid w:val="00DC6AFC"/>
    <w:rsid w:val="00DC7078"/>
    <w:rsid w:val="00DC7B78"/>
    <w:rsid w:val="00DD05E3"/>
    <w:rsid w:val="00DD0981"/>
    <w:rsid w:val="00DD15D4"/>
    <w:rsid w:val="00DD237E"/>
    <w:rsid w:val="00DD2E5E"/>
    <w:rsid w:val="00DD43FF"/>
    <w:rsid w:val="00DD5FCA"/>
    <w:rsid w:val="00DD6681"/>
    <w:rsid w:val="00DD67E0"/>
    <w:rsid w:val="00DD69A6"/>
    <w:rsid w:val="00DD6DB3"/>
    <w:rsid w:val="00DD7136"/>
    <w:rsid w:val="00DE01D9"/>
    <w:rsid w:val="00DE0289"/>
    <w:rsid w:val="00DE045D"/>
    <w:rsid w:val="00DE1895"/>
    <w:rsid w:val="00DE2794"/>
    <w:rsid w:val="00DE5072"/>
    <w:rsid w:val="00DE5438"/>
    <w:rsid w:val="00DE67CA"/>
    <w:rsid w:val="00DE6899"/>
    <w:rsid w:val="00DF099D"/>
    <w:rsid w:val="00DF0A93"/>
    <w:rsid w:val="00DF0CE2"/>
    <w:rsid w:val="00DF1EE3"/>
    <w:rsid w:val="00DF20BA"/>
    <w:rsid w:val="00DF2995"/>
    <w:rsid w:val="00DF3393"/>
    <w:rsid w:val="00DF3639"/>
    <w:rsid w:val="00DF39BE"/>
    <w:rsid w:val="00DF3AF8"/>
    <w:rsid w:val="00DF3C5D"/>
    <w:rsid w:val="00DF43B3"/>
    <w:rsid w:val="00DF44B7"/>
    <w:rsid w:val="00DF4746"/>
    <w:rsid w:val="00DF4D2E"/>
    <w:rsid w:val="00DF55B9"/>
    <w:rsid w:val="00DF5AF7"/>
    <w:rsid w:val="00DF5B16"/>
    <w:rsid w:val="00DF5B6A"/>
    <w:rsid w:val="00DF5FE0"/>
    <w:rsid w:val="00DF6479"/>
    <w:rsid w:val="00E0243C"/>
    <w:rsid w:val="00E02474"/>
    <w:rsid w:val="00E03A3B"/>
    <w:rsid w:val="00E0618A"/>
    <w:rsid w:val="00E10C8E"/>
    <w:rsid w:val="00E10F94"/>
    <w:rsid w:val="00E129BA"/>
    <w:rsid w:val="00E15449"/>
    <w:rsid w:val="00E163CA"/>
    <w:rsid w:val="00E172CE"/>
    <w:rsid w:val="00E17CD7"/>
    <w:rsid w:val="00E2076F"/>
    <w:rsid w:val="00E20EFF"/>
    <w:rsid w:val="00E217D8"/>
    <w:rsid w:val="00E23789"/>
    <w:rsid w:val="00E24E41"/>
    <w:rsid w:val="00E270C2"/>
    <w:rsid w:val="00E27386"/>
    <w:rsid w:val="00E31594"/>
    <w:rsid w:val="00E322CB"/>
    <w:rsid w:val="00E329EE"/>
    <w:rsid w:val="00E34AED"/>
    <w:rsid w:val="00E35672"/>
    <w:rsid w:val="00E365C0"/>
    <w:rsid w:val="00E37576"/>
    <w:rsid w:val="00E40E0F"/>
    <w:rsid w:val="00E41C50"/>
    <w:rsid w:val="00E420A1"/>
    <w:rsid w:val="00E421F0"/>
    <w:rsid w:val="00E4234C"/>
    <w:rsid w:val="00E42A6B"/>
    <w:rsid w:val="00E431F2"/>
    <w:rsid w:val="00E439F2"/>
    <w:rsid w:val="00E45066"/>
    <w:rsid w:val="00E46871"/>
    <w:rsid w:val="00E4723B"/>
    <w:rsid w:val="00E5193B"/>
    <w:rsid w:val="00E51AAD"/>
    <w:rsid w:val="00E54687"/>
    <w:rsid w:val="00E54D55"/>
    <w:rsid w:val="00E556F5"/>
    <w:rsid w:val="00E56B35"/>
    <w:rsid w:val="00E56D5A"/>
    <w:rsid w:val="00E572A2"/>
    <w:rsid w:val="00E57AD5"/>
    <w:rsid w:val="00E57C67"/>
    <w:rsid w:val="00E60DC5"/>
    <w:rsid w:val="00E62BF8"/>
    <w:rsid w:val="00E62DE9"/>
    <w:rsid w:val="00E64633"/>
    <w:rsid w:val="00E6660E"/>
    <w:rsid w:val="00E7056C"/>
    <w:rsid w:val="00E7278F"/>
    <w:rsid w:val="00E729B8"/>
    <w:rsid w:val="00E72A41"/>
    <w:rsid w:val="00E735C8"/>
    <w:rsid w:val="00E73C04"/>
    <w:rsid w:val="00E75BF3"/>
    <w:rsid w:val="00E75EA6"/>
    <w:rsid w:val="00E7619A"/>
    <w:rsid w:val="00E80F92"/>
    <w:rsid w:val="00E81A3E"/>
    <w:rsid w:val="00E81DF3"/>
    <w:rsid w:val="00E81E68"/>
    <w:rsid w:val="00E86003"/>
    <w:rsid w:val="00E8693D"/>
    <w:rsid w:val="00E86C63"/>
    <w:rsid w:val="00E86C73"/>
    <w:rsid w:val="00E8733D"/>
    <w:rsid w:val="00E87AC6"/>
    <w:rsid w:val="00E87C7A"/>
    <w:rsid w:val="00E90AEB"/>
    <w:rsid w:val="00E90DBC"/>
    <w:rsid w:val="00E91901"/>
    <w:rsid w:val="00E92FD6"/>
    <w:rsid w:val="00E9463E"/>
    <w:rsid w:val="00E94BD6"/>
    <w:rsid w:val="00E95789"/>
    <w:rsid w:val="00EA0CEA"/>
    <w:rsid w:val="00EA1192"/>
    <w:rsid w:val="00EA1334"/>
    <w:rsid w:val="00EA18F1"/>
    <w:rsid w:val="00EA1B4D"/>
    <w:rsid w:val="00EA44BF"/>
    <w:rsid w:val="00EA4EFE"/>
    <w:rsid w:val="00EA582D"/>
    <w:rsid w:val="00EA6641"/>
    <w:rsid w:val="00EB0AA9"/>
    <w:rsid w:val="00EB3130"/>
    <w:rsid w:val="00EB3B49"/>
    <w:rsid w:val="00EB44D1"/>
    <w:rsid w:val="00EB5B0D"/>
    <w:rsid w:val="00EB63B5"/>
    <w:rsid w:val="00EB66A2"/>
    <w:rsid w:val="00EB716E"/>
    <w:rsid w:val="00EB7945"/>
    <w:rsid w:val="00EC0B25"/>
    <w:rsid w:val="00EC199B"/>
    <w:rsid w:val="00EC1ACD"/>
    <w:rsid w:val="00EC1BE0"/>
    <w:rsid w:val="00EC3207"/>
    <w:rsid w:val="00EC3E75"/>
    <w:rsid w:val="00EC544B"/>
    <w:rsid w:val="00EC57A0"/>
    <w:rsid w:val="00EC5B7E"/>
    <w:rsid w:val="00EC78AA"/>
    <w:rsid w:val="00ED0143"/>
    <w:rsid w:val="00ED2560"/>
    <w:rsid w:val="00ED3AFA"/>
    <w:rsid w:val="00ED4DA3"/>
    <w:rsid w:val="00ED51B4"/>
    <w:rsid w:val="00ED6521"/>
    <w:rsid w:val="00ED6CBD"/>
    <w:rsid w:val="00EE547A"/>
    <w:rsid w:val="00EE5633"/>
    <w:rsid w:val="00EE6C1C"/>
    <w:rsid w:val="00EE7A92"/>
    <w:rsid w:val="00EF0A0E"/>
    <w:rsid w:val="00EF1238"/>
    <w:rsid w:val="00EF13C7"/>
    <w:rsid w:val="00EF185B"/>
    <w:rsid w:val="00EF2703"/>
    <w:rsid w:val="00EF2AC1"/>
    <w:rsid w:val="00EF35E3"/>
    <w:rsid w:val="00EF3D6F"/>
    <w:rsid w:val="00EF516F"/>
    <w:rsid w:val="00EF54EE"/>
    <w:rsid w:val="00EF62F2"/>
    <w:rsid w:val="00EF678C"/>
    <w:rsid w:val="00F00083"/>
    <w:rsid w:val="00F04638"/>
    <w:rsid w:val="00F048A8"/>
    <w:rsid w:val="00F051C8"/>
    <w:rsid w:val="00F05264"/>
    <w:rsid w:val="00F064ED"/>
    <w:rsid w:val="00F0780A"/>
    <w:rsid w:val="00F07EED"/>
    <w:rsid w:val="00F1005B"/>
    <w:rsid w:val="00F103C2"/>
    <w:rsid w:val="00F123C2"/>
    <w:rsid w:val="00F12D36"/>
    <w:rsid w:val="00F12D70"/>
    <w:rsid w:val="00F14C05"/>
    <w:rsid w:val="00F16065"/>
    <w:rsid w:val="00F1747A"/>
    <w:rsid w:val="00F21658"/>
    <w:rsid w:val="00F217AF"/>
    <w:rsid w:val="00F23B6C"/>
    <w:rsid w:val="00F23CA8"/>
    <w:rsid w:val="00F23F7E"/>
    <w:rsid w:val="00F25105"/>
    <w:rsid w:val="00F258BD"/>
    <w:rsid w:val="00F26E9D"/>
    <w:rsid w:val="00F2775F"/>
    <w:rsid w:val="00F27F66"/>
    <w:rsid w:val="00F30248"/>
    <w:rsid w:val="00F3045B"/>
    <w:rsid w:val="00F30C52"/>
    <w:rsid w:val="00F30F4A"/>
    <w:rsid w:val="00F31497"/>
    <w:rsid w:val="00F33411"/>
    <w:rsid w:val="00F33434"/>
    <w:rsid w:val="00F33A1E"/>
    <w:rsid w:val="00F33DDB"/>
    <w:rsid w:val="00F3520B"/>
    <w:rsid w:val="00F356D5"/>
    <w:rsid w:val="00F358AF"/>
    <w:rsid w:val="00F35FE5"/>
    <w:rsid w:val="00F36079"/>
    <w:rsid w:val="00F37B8D"/>
    <w:rsid w:val="00F41B89"/>
    <w:rsid w:val="00F42364"/>
    <w:rsid w:val="00F4260D"/>
    <w:rsid w:val="00F42822"/>
    <w:rsid w:val="00F4283C"/>
    <w:rsid w:val="00F435A7"/>
    <w:rsid w:val="00F43C44"/>
    <w:rsid w:val="00F4530A"/>
    <w:rsid w:val="00F45BA9"/>
    <w:rsid w:val="00F46037"/>
    <w:rsid w:val="00F463A1"/>
    <w:rsid w:val="00F46856"/>
    <w:rsid w:val="00F46E20"/>
    <w:rsid w:val="00F473B5"/>
    <w:rsid w:val="00F5008B"/>
    <w:rsid w:val="00F50205"/>
    <w:rsid w:val="00F52509"/>
    <w:rsid w:val="00F52769"/>
    <w:rsid w:val="00F550D1"/>
    <w:rsid w:val="00F55483"/>
    <w:rsid w:val="00F55737"/>
    <w:rsid w:val="00F56F27"/>
    <w:rsid w:val="00F575ED"/>
    <w:rsid w:val="00F57D7E"/>
    <w:rsid w:val="00F608F8"/>
    <w:rsid w:val="00F6189C"/>
    <w:rsid w:val="00F61D5E"/>
    <w:rsid w:val="00F62474"/>
    <w:rsid w:val="00F632FD"/>
    <w:rsid w:val="00F637DC"/>
    <w:rsid w:val="00F63C18"/>
    <w:rsid w:val="00F65D1F"/>
    <w:rsid w:val="00F66747"/>
    <w:rsid w:val="00F66BDB"/>
    <w:rsid w:val="00F67968"/>
    <w:rsid w:val="00F71AA6"/>
    <w:rsid w:val="00F71C24"/>
    <w:rsid w:val="00F73AFE"/>
    <w:rsid w:val="00F7507A"/>
    <w:rsid w:val="00F7530E"/>
    <w:rsid w:val="00F762F7"/>
    <w:rsid w:val="00F76608"/>
    <w:rsid w:val="00F771E3"/>
    <w:rsid w:val="00F77E05"/>
    <w:rsid w:val="00F77F57"/>
    <w:rsid w:val="00F80E7A"/>
    <w:rsid w:val="00F81770"/>
    <w:rsid w:val="00F829F1"/>
    <w:rsid w:val="00F83FC2"/>
    <w:rsid w:val="00F8406D"/>
    <w:rsid w:val="00F84213"/>
    <w:rsid w:val="00F868AA"/>
    <w:rsid w:val="00F86E35"/>
    <w:rsid w:val="00F87FF1"/>
    <w:rsid w:val="00F9002D"/>
    <w:rsid w:val="00F903D7"/>
    <w:rsid w:val="00F9108C"/>
    <w:rsid w:val="00F91C86"/>
    <w:rsid w:val="00F926EE"/>
    <w:rsid w:val="00F95341"/>
    <w:rsid w:val="00F95711"/>
    <w:rsid w:val="00F961B4"/>
    <w:rsid w:val="00F97039"/>
    <w:rsid w:val="00FA0E10"/>
    <w:rsid w:val="00FA21C3"/>
    <w:rsid w:val="00FA25C6"/>
    <w:rsid w:val="00FA4030"/>
    <w:rsid w:val="00FA5702"/>
    <w:rsid w:val="00FA7070"/>
    <w:rsid w:val="00FB0094"/>
    <w:rsid w:val="00FB025F"/>
    <w:rsid w:val="00FB0DC7"/>
    <w:rsid w:val="00FB2330"/>
    <w:rsid w:val="00FB2666"/>
    <w:rsid w:val="00FB4A57"/>
    <w:rsid w:val="00FB7C6A"/>
    <w:rsid w:val="00FC13F7"/>
    <w:rsid w:val="00FC19A8"/>
    <w:rsid w:val="00FC2635"/>
    <w:rsid w:val="00FC304F"/>
    <w:rsid w:val="00FC32FC"/>
    <w:rsid w:val="00FC454B"/>
    <w:rsid w:val="00FC5524"/>
    <w:rsid w:val="00FC66F5"/>
    <w:rsid w:val="00FC693C"/>
    <w:rsid w:val="00FC7007"/>
    <w:rsid w:val="00FC71E1"/>
    <w:rsid w:val="00FC7318"/>
    <w:rsid w:val="00FD0390"/>
    <w:rsid w:val="00FD0436"/>
    <w:rsid w:val="00FD0945"/>
    <w:rsid w:val="00FD0EE5"/>
    <w:rsid w:val="00FD1424"/>
    <w:rsid w:val="00FD1D54"/>
    <w:rsid w:val="00FD22D9"/>
    <w:rsid w:val="00FD231F"/>
    <w:rsid w:val="00FD2804"/>
    <w:rsid w:val="00FD292E"/>
    <w:rsid w:val="00FD3710"/>
    <w:rsid w:val="00FD40CC"/>
    <w:rsid w:val="00FD4A83"/>
    <w:rsid w:val="00FD5F23"/>
    <w:rsid w:val="00FD758E"/>
    <w:rsid w:val="00FE0327"/>
    <w:rsid w:val="00FE07CB"/>
    <w:rsid w:val="00FE12CC"/>
    <w:rsid w:val="00FE1B6C"/>
    <w:rsid w:val="00FE1BBF"/>
    <w:rsid w:val="00FE1D7D"/>
    <w:rsid w:val="00FE3D23"/>
    <w:rsid w:val="00FE3E2E"/>
    <w:rsid w:val="00FE4F3C"/>
    <w:rsid w:val="00FE56D3"/>
    <w:rsid w:val="00FE5E88"/>
    <w:rsid w:val="00FE7198"/>
    <w:rsid w:val="00FF0B2C"/>
    <w:rsid w:val="00FF1301"/>
    <w:rsid w:val="00FF1870"/>
    <w:rsid w:val="00FF1BF1"/>
    <w:rsid w:val="00FF1D2C"/>
    <w:rsid w:val="00FF1F28"/>
    <w:rsid w:val="00FF428B"/>
    <w:rsid w:val="00FF4AA8"/>
    <w:rsid w:val="00FF5A6B"/>
    <w:rsid w:val="00FF711E"/>
    <w:rsid w:val="00FF71CD"/>
    <w:rsid w:val="03571F50"/>
    <w:rsid w:val="035F3FA5"/>
    <w:rsid w:val="047F6E47"/>
    <w:rsid w:val="04DD51A5"/>
    <w:rsid w:val="061B6C85"/>
    <w:rsid w:val="065B36B2"/>
    <w:rsid w:val="06687574"/>
    <w:rsid w:val="06D21211"/>
    <w:rsid w:val="094E394A"/>
    <w:rsid w:val="09A720EC"/>
    <w:rsid w:val="0A12209B"/>
    <w:rsid w:val="0A6108D8"/>
    <w:rsid w:val="0AEB784A"/>
    <w:rsid w:val="0B5D2B7C"/>
    <w:rsid w:val="0BDE7780"/>
    <w:rsid w:val="0C48473D"/>
    <w:rsid w:val="0CE421A3"/>
    <w:rsid w:val="0CED4785"/>
    <w:rsid w:val="0D0232C1"/>
    <w:rsid w:val="0D94175D"/>
    <w:rsid w:val="0D952373"/>
    <w:rsid w:val="0E4532A0"/>
    <w:rsid w:val="0EB2051D"/>
    <w:rsid w:val="106C4DDB"/>
    <w:rsid w:val="10A4235F"/>
    <w:rsid w:val="10E30841"/>
    <w:rsid w:val="113F067A"/>
    <w:rsid w:val="125643FA"/>
    <w:rsid w:val="13C357F5"/>
    <w:rsid w:val="15E37376"/>
    <w:rsid w:val="16C116D7"/>
    <w:rsid w:val="17084093"/>
    <w:rsid w:val="170B60F6"/>
    <w:rsid w:val="1782528B"/>
    <w:rsid w:val="18CF523B"/>
    <w:rsid w:val="1A3E4793"/>
    <w:rsid w:val="1AF872E1"/>
    <w:rsid w:val="1B315B89"/>
    <w:rsid w:val="1C6858BF"/>
    <w:rsid w:val="1F567ED7"/>
    <w:rsid w:val="220B647B"/>
    <w:rsid w:val="22794C0B"/>
    <w:rsid w:val="22B833B3"/>
    <w:rsid w:val="22B95A03"/>
    <w:rsid w:val="2447564E"/>
    <w:rsid w:val="24EA51E8"/>
    <w:rsid w:val="276227A8"/>
    <w:rsid w:val="281D6D31"/>
    <w:rsid w:val="2B3F20BF"/>
    <w:rsid w:val="2B481A56"/>
    <w:rsid w:val="2BC249AC"/>
    <w:rsid w:val="2C9149D7"/>
    <w:rsid w:val="2D1761FB"/>
    <w:rsid w:val="3253527C"/>
    <w:rsid w:val="337D4A9D"/>
    <w:rsid w:val="339F0978"/>
    <w:rsid w:val="350E2C20"/>
    <w:rsid w:val="356A3BCB"/>
    <w:rsid w:val="364801DA"/>
    <w:rsid w:val="3672785B"/>
    <w:rsid w:val="3BCC32BE"/>
    <w:rsid w:val="3C540DAE"/>
    <w:rsid w:val="3C6B085D"/>
    <w:rsid w:val="3C952839"/>
    <w:rsid w:val="3F505EDC"/>
    <w:rsid w:val="416C6162"/>
    <w:rsid w:val="41AE0E91"/>
    <w:rsid w:val="44C7788B"/>
    <w:rsid w:val="45251EF5"/>
    <w:rsid w:val="47162A5D"/>
    <w:rsid w:val="47207093"/>
    <w:rsid w:val="49705BCA"/>
    <w:rsid w:val="4B99364C"/>
    <w:rsid w:val="4BE22D89"/>
    <w:rsid w:val="4C5B465A"/>
    <w:rsid w:val="4CA143ED"/>
    <w:rsid w:val="4EAA43B7"/>
    <w:rsid w:val="4EC96F34"/>
    <w:rsid w:val="4FAF117C"/>
    <w:rsid w:val="50C62624"/>
    <w:rsid w:val="50DB0287"/>
    <w:rsid w:val="52216F34"/>
    <w:rsid w:val="528930E4"/>
    <w:rsid w:val="529E3180"/>
    <w:rsid w:val="53790AE6"/>
    <w:rsid w:val="540037EB"/>
    <w:rsid w:val="54331F22"/>
    <w:rsid w:val="54364BA5"/>
    <w:rsid w:val="545D59F3"/>
    <w:rsid w:val="555D308A"/>
    <w:rsid w:val="55DC7F3D"/>
    <w:rsid w:val="565129F6"/>
    <w:rsid w:val="578C4958"/>
    <w:rsid w:val="58642FCE"/>
    <w:rsid w:val="5993406B"/>
    <w:rsid w:val="5A215472"/>
    <w:rsid w:val="5B526A02"/>
    <w:rsid w:val="5BBA6B55"/>
    <w:rsid w:val="5DD25328"/>
    <w:rsid w:val="5E140611"/>
    <w:rsid w:val="5EA97FCB"/>
    <w:rsid w:val="61335CA4"/>
    <w:rsid w:val="61EC14EF"/>
    <w:rsid w:val="64DD514B"/>
    <w:rsid w:val="6630146E"/>
    <w:rsid w:val="68B070C4"/>
    <w:rsid w:val="6A680371"/>
    <w:rsid w:val="6A6B5A75"/>
    <w:rsid w:val="6AA268AB"/>
    <w:rsid w:val="6BAF0BC2"/>
    <w:rsid w:val="6D2A767B"/>
    <w:rsid w:val="6DB42D64"/>
    <w:rsid w:val="6F4B2F38"/>
    <w:rsid w:val="6F7D21E8"/>
    <w:rsid w:val="70D8523E"/>
    <w:rsid w:val="70FA5287"/>
    <w:rsid w:val="710466E1"/>
    <w:rsid w:val="7228396A"/>
    <w:rsid w:val="72C222FD"/>
    <w:rsid w:val="743854CE"/>
    <w:rsid w:val="749C1431"/>
    <w:rsid w:val="7708505A"/>
    <w:rsid w:val="7766074D"/>
    <w:rsid w:val="77D76580"/>
    <w:rsid w:val="79414822"/>
    <w:rsid w:val="79440243"/>
    <w:rsid w:val="7994197D"/>
    <w:rsid w:val="799D178C"/>
    <w:rsid w:val="7A354BB1"/>
    <w:rsid w:val="7B5725DF"/>
    <w:rsid w:val="7F581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name="annotation reference"/>
    <w:lsdException w:uiPriority="0" w:name="line number"/>
    <w:lsdException w:qFormat="1" w:unhideWhenUsed="0" w:uiPriority="0" w:semiHidden="0" w:name="page number"/>
    <w:lsdException w:qFormat="1" w:uiPriority="0" w:name="endnote reference"/>
    <w:lsdException w:qFormat="1"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0"/>
    <w:pPr>
      <w:keepNext/>
      <w:keepLines/>
      <w:spacing w:before="340" w:after="330" w:line="578" w:lineRule="auto"/>
      <w:outlineLvl w:val="0"/>
    </w:pPr>
    <w:rPr>
      <w:b/>
      <w:bCs/>
      <w:kern w:val="44"/>
      <w:sz w:val="44"/>
      <w:szCs w:val="44"/>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qFormat/>
    <w:uiPriority w:val="0"/>
    <w:pPr>
      <w:jc w:val="left"/>
    </w:pPr>
  </w:style>
  <w:style w:type="paragraph" w:styleId="4">
    <w:name w:val="Date"/>
    <w:basedOn w:val="1"/>
    <w:next w:val="1"/>
    <w:qFormat/>
    <w:uiPriority w:val="0"/>
    <w:pPr>
      <w:ind w:left="100" w:leftChars="2500"/>
    </w:pPr>
  </w:style>
  <w:style w:type="paragraph" w:styleId="5">
    <w:name w:val="endnote text"/>
    <w:basedOn w:val="1"/>
    <w:link w:val="24"/>
    <w:semiHidden/>
    <w:unhideWhenUsed/>
    <w:qFormat/>
    <w:uiPriority w:val="0"/>
    <w:pPr>
      <w:snapToGrid w:val="0"/>
      <w:jc w:val="left"/>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footnote text"/>
    <w:basedOn w:val="1"/>
    <w:link w:val="21"/>
    <w:qFormat/>
    <w:uiPriority w:val="0"/>
    <w:pPr>
      <w:snapToGrid w:val="0"/>
      <w:jc w:val="left"/>
    </w:pPr>
    <w:rPr>
      <w:sz w:val="18"/>
      <w:szCs w:val="18"/>
    </w:rPr>
  </w:style>
  <w:style w:type="paragraph" w:styleId="10">
    <w:name w:val="Normal (Web)"/>
    <w:basedOn w:val="1"/>
    <w:qFormat/>
    <w:uiPriority w:val="0"/>
    <w:pPr>
      <w:spacing w:beforeAutospacing="1" w:afterAutospacing="1"/>
      <w:jc w:val="left"/>
    </w:pPr>
    <w:rPr>
      <w:kern w:val="0"/>
      <w:sz w:val="24"/>
    </w:rPr>
  </w:style>
  <w:style w:type="paragraph" w:styleId="11">
    <w:name w:val="annotation subject"/>
    <w:basedOn w:val="3"/>
    <w:next w:val="3"/>
    <w:semiHidden/>
    <w:qFormat/>
    <w:uiPriority w:val="0"/>
    <w:rPr>
      <w:b/>
      <w:bCs/>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bCs/>
    </w:rPr>
  </w:style>
  <w:style w:type="character" w:styleId="16">
    <w:name w:val="endnote reference"/>
    <w:basedOn w:val="14"/>
    <w:semiHidden/>
    <w:unhideWhenUsed/>
    <w:qFormat/>
    <w:uiPriority w:val="0"/>
    <w:rPr>
      <w:vertAlign w:val="superscript"/>
    </w:rPr>
  </w:style>
  <w:style w:type="character" w:styleId="17">
    <w:name w:val="page number"/>
    <w:basedOn w:val="14"/>
    <w:qFormat/>
    <w:uiPriority w:val="0"/>
  </w:style>
  <w:style w:type="character" w:styleId="18">
    <w:name w:val="annotation reference"/>
    <w:basedOn w:val="14"/>
    <w:semiHidden/>
    <w:qFormat/>
    <w:uiPriority w:val="0"/>
    <w:rPr>
      <w:sz w:val="21"/>
      <w:szCs w:val="21"/>
    </w:rPr>
  </w:style>
  <w:style w:type="character" w:styleId="19">
    <w:name w:val="footnote reference"/>
    <w:basedOn w:val="14"/>
    <w:qFormat/>
    <w:uiPriority w:val="0"/>
    <w:rPr>
      <w:vertAlign w:val="superscript"/>
    </w:rPr>
  </w:style>
  <w:style w:type="character" w:customStyle="1" w:styleId="20">
    <w:name w:val="apple-converted-space"/>
    <w:basedOn w:val="14"/>
    <w:qFormat/>
    <w:uiPriority w:val="0"/>
  </w:style>
  <w:style w:type="character" w:customStyle="1" w:styleId="21">
    <w:name w:val="脚注文本 字符"/>
    <w:basedOn w:val="14"/>
    <w:link w:val="9"/>
    <w:qFormat/>
    <w:uiPriority w:val="0"/>
    <w:rPr>
      <w:kern w:val="2"/>
      <w:sz w:val="18"/>
      <w:szCs w:val="18"/>
    </w:rPr>
  </w:style>
  <w:style w:type="character" w:customStyle="1" w:styleId="22">
    <w:name w:val="标题 1 字符"/>
    <w:basedOn w:val="14"/>
    <w:link w:val="2"/>
    <w:qFormat/>
    <w:uiPriority w:val="0"/>
    <w:rPr>
      <w:b/>
      <w:bCs/>
      <w:kern w:val="44"/>
      <w:sz w:val="44"/>
      <w:szCs w:val="44"/>
    </w:rPr>
  </w:style>
  <w:style w:type="paragraph" w:styleId="23">
    <w:name w:val="List Paragraph"/>
    <w:basedOn w:val="1"/>
    <w:qFormat/>
    <w:uiPriority w:val="34"/>
    <w:pPr>
      <w:ind w:firstLine="420" w:firstLineChars="200"/>
    </w:pPr>
  </w:style>
  <w:style w:type="character" w:customStyle="1" w:styleId="24">
    <w:name w:val="尾注文本 字符"/>
    <w:basedOn w:val="14"/>
    <w:link w:val="5"/>
    <w:semiHidden/>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C6275-D4CF-473E-95A6-2FB65775AA6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16</Pages>
  <Words>850</Words>
  <Characters>4851</Characters>
  <Lines>40</Lines>
  <Paragraphs>11</Paragraphs>
  <TotalTime>18</TotalTime>
  <ScaleCrop>false</ScaleCrop>
  <LinksUpToDate>false</LinksUpToDate>
  <CharactersWithSpaces>5690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2023-12-25T02:22:00Z</dcterms:created>
  <dc:creator>微软用户</dc:creator>
  <cp:lastModifiedBy>wzy</cp:lastModifiedBy>
  <cp:lastPrinted>2023-12-25T07:11:00Z</cp:lastPrinted>
  <dcterms:modified xsi:type="dcterms:W3CDTF">2024-02-19T02:38:00Z</dcterms:modified>
  <dc:title>江苏南通六建建设集团有限公司</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8252467E2D2C4E5BAC7976E11E39DE39</vt:lpwstr>
  </property>
</Properties>
</file>